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B98659">
      <w:pPr>
        <w:spacing w:line="560" w:lineRule="exact"/>
        <w:ind w:firstLine="480" w:firstLineChars="200"/>
        <w:rPr>
          <w:rFonts w:hint="eastAsia"/>
          <w:sz w:val="24"/>
          <w:szCs w:val="28"/>
        </w:rPr>
      </w:pPr>
    </w:p>
    <w:p w14:paraId="5E83865F">
      <w:pPr>
        <w:widowControl/>
        <w:jc w:val="center"/>
        <w:rPr>
          <w:rFonts w:ascii="微软雅黑" w:hAnsi="微软雅黑" w:eastAsia="微软雅黑"/>
          <w:sz w:val="44"/>
          <w:szCs w:val="48"/>
        </w:rPr>
      </w:pPr>
      <w:bookmarkStart w:id="0" w:name="OLE_LINK3"/>
      <w:r>
        <w:rPr>
          <w:rFonts w:hint="eastAsia" w:ascii="微软雅黑" w:hAnsi="微软雅黑" w:eastAsia="微软雅黑"/>
          <w:sz w:val="44"/>
          <w:szCs w:val="48"/>
        </w:rPr>
        <w:t>《石墨烯电热膜设施水产养殖控温技术规程》</w:t>
      </w:r>
    </w:p>
    <w:bookmarkEnd w:id="0"/>
    <w:p w14:paraId="2D46CFDE">
      <w:pPr>
        <w:widowControl/>
        <w:jc w:val="center"/>
        <w:rPr>
          <w:rFonts w:ascii="微软雅黑" w:hAnsi="微软雅黑" w:eastAsia="微软雅黑"/>
          <w:sz w:val="44"/>
          <w:szCs w:val="48"/>
        </w:rPr>
      </w:pPr>
      <w:r>
        <w:rPr>
          <w:rFonts w:hint="eastAsia" w:ascii="微软雅黑" w:hAnsi="微软雅黑" w:eastAsia="微软雅黑"/>
          <w:sz w:val="44"/>
          <w:szCs w:val="48"/>
        </w:rPr>
        <w:t>编制说明</w:t>
      </w:r>
    </w:p>
    <w:p w14:paraId="1689880D">
      <w:pPr>
        <w:widowControl/>
        <w:jc w:val="center"/>
        <w:rPr>
          <w:rFonts w:ascii="微软雅黑" w:hAnsi="微软雅黑" w:eastAsia="微软雅黑"/>
          <w:sz w:val="44"/>
          <w:szCs w:val="48"/>
        </w:rPr>
      </w:pPr>
    </w:p>
    <w:p w14:paraId="0D115DA8">
      <w:pPr>
        <w:widowControl/>
        <w:jc w:val="center"/>
        <w:rPr>
          <w:rFonts w:ascii="微软雅黑" w:hAnsi="微软雅黑" w:eastAsia="微软雅黑"/>
          <w:sz w:val="32"/>
          <w:szCs w:val="36"/>
        </w:rPr>
      </w:pPr>
      <w:r>
        <w:rPr>
          <w:rFonts w:hint="eastAsia" w:ascii="微软雅黑" w:hAnsi="微软雅黑" w:eastAsia="微软雅黑"/>
          <w:sz w:val="32"/>
          <w:szCs w:val="36"/>
        </w:rPr>
        <w:t>（征求意见稿）</w:t>
      </w:r>
    </w:p>
    <w:p w14:paraId="0FF7802F">
      <w:pPr>
        <w:widowControl/>
        <w:jc w:val="center"/>
        <w:rPr>
          <w:rFonts w:ascii="微软雅黑" w:hAnsi="微软雅黑" w:eastAsia="微软雅黑"/>
          <w:sz w:val="36"/>
          <w:szCs w:val="40"/>
        </w:rPr>
      </w:pPr>
    </w:p>
    <w:p w14:paraId="23E7E6CA">
      <w:pPr>
        <w:widowControl/>
        <w:jc w:val="center"/>
        <w:rPr>
          <w:rFonts w:ascii="微软雅黑" w:hAnsi="微软雅黑" w:eastAsia="微软雅黑"/>
          <w:sz w:val="36"/>
          <w:szCs w:val="40"/>
        </w:rPr>
      </w:pPr>
    </w:p>
    <w:p w14:paraId="5FF078BD">
      <w:pPr>
        <w:widowControl/>
        <w:jc w:val="center"/>
        <w:rPr>
          <w:rFonts w:ascii="微软雅黑" w:hAnsi="微软雅黑" w:eastAsia="微软雅黑"/>
          <w:sz w:val="36"/>
          <w:szCs w:val="40"/>
        </w:rPr>
      </w:pPr>
    </w:p>
    <w:p w14:paraId="552C3A2E">
      <w:pPr>
        <w:widowControl/>
        <w:jc w:val="center"/>
        <w:rPr>
          <w:rFonts w:ascii="微软雅黑" w:hAnsi="微软雅黑" w:eastAsia="微软雅黑"/>
          <w:sz w:val="32"/>
          <w:szCs w:val="36"/>
        </w:rPr>
      </w:pPr>
    </w:p>
    <w:p w14:paraId="696E06AB">
      <w:pPr>
        <w:widowControl/>
        <w:jc w:val="center"/>
        <w:rPr>
          <w:rFonts w:ascii="微软雅黑" w:hAnsi="微软雅黑" w:eastAsia="微软雅黑"/>
          <w:sz w:val="32"/>
          <w:szCs w:val="36"/>
        </w:rPr>
      </w:pPr>
    </w:p>
    <w:p w14:paraId="33285E9A">
      <w:pPr>
        <w:widowControl/>
        <w:jc w:val="center"/>
        <w:rPr>
          <w:rFonts w:ascii="微软雅黑" w:hAnsi="微软雅黑" w:eastAsia="微软雅黑"/>
          <w:sz w:val="32"/>
          <w:szCs w:val="36"/>
        </w:rPr>
      </w:pPr>
    </w:p>
    <w:p w14:paraId="1806FAA9">
      <w:pPr>
        <w:widowControl/>
        <w:jc w:val="center"/>
        <w:rPr>
          <w:rFonts w:ascii="微软雅黑" w:hAnsi="微软雅黑" w:eastAsia="微软雅黑"/>
          <w:sz w:val="32"/>
          <w:szCs w:val="36"/>
        </w:rPr>
      </w:pPr>
    </w:p>
    <w:p w14:paraId="261DCA36">
      <w:pPr>
        <w:widowControl/>
        <w:jc w:val="center"/>
        <w:rPr>
          <w:rFonts w:ascii="微软雅黑" w:hAnsi="微软雅黑" w:eastAsia="微软雅黑"/>
          <w:sz w:val="32"/>
          <w:szCs w:val="36"/>
        </w:rPr>
      </w:pPr>
    </w:p>
    <w:p w14:paraId="7722C894">
      <w:pPr>
        <w:widowControl/>
        <w:jc w:val="center"/>
        <w:rPr>
          <w:rFonts w:ascii="微软雅黑" w:hAnsi="微软雅黑" w:eastAsia="微软雅黑"/>
          <w:sz w:val="32"/>
          <w:szCs w:val="36"/>
        </w:rPr>
      </w:pPr>
    </w:p>
    <w:p w14:paraId="66FB5937">
      <w:pPr>
        <w:widowControl/>
        <w:jc w:val="center"/>
        <w:rPr>
          <w:rFonts w:ascii="微软雅黑" w:hAnsi="微软雅黑" w:eastAsia="微软雅黑"/>
          <w:sz w:val="32"/>
          <w:szCs w:val="36"/>
        </w:rPr>
      </w:pPr>
      <w:bookmarkStart w:id="1" w:name="_GoBack"/>
      <w:bookmarkEnd w:id="1"/>
    </w:p>
    <w:p w14:paraId="2F0A207F">
      <w:pPr>
        <w:widowControl/>
        <w:jc w:val="center"/>
        <w:rPr>
          <w:rFonts w:ascii="微软雅黑" w:hAnsi="微软雅黑" w:eastAsia="微软雅黑"/>
          <w:sz w:val="32"/>
          <w:szCs w:val="36"/>
        </w:rPr>
      </w:pPr>
    </w:p>
    <w:p w14:paraId="4F252A06">
      <w:pPr>
        <w:widowControl/>
        <w:jc w:val="center"/>
        <w:rPr>
          <w:rFonts w:ascii="微软雅黑" w:hAnsi="微软雅黑" w:eastAsia="微软雅黑"/>
          <w:sz w:val="28"/>
          <w:szCs w:val="32"/>
        </w:rPr>
      </w:pPr>
      <w:r>
        <w:rPr>
          <w:rFonts w:hint="eastAsia" w:ascii="微软雅黑" w:hAnsi="微软雅黑" w:eastAsia="微软雅黑"/>
          <w:sz w:val="28"/>
          <w:szCs w:val="32"/>
        </w:rPr>
        <w:t>《石墨烯电热膜设施水产养殖控温技术规程》编制组</w:t>
      </w:r>
    </w:p>
    <w:p w14:paraId="676B2111">
      <w:pPr>
        <w:widowControl/>
        <w:jc w:val="center"/>
      </w:pPr>
    </w:p>
    <w:p w14:paraId="2B1C13D8">
      <w:pPr>
        <w:widowControl/>
        <w:jc w:val="center"/>
        <w:rPr>
          <w:rFonts w:hint="eastAsia"/>
          <w:b/>
          <w:bCs/>
        </w:rPr>
      </w:pPr>
      <w:r>
        <w:rPr>
          <w:rFonts w:hint="eastAsia" w:ascii="微软雅黑" w:hAnsi="微软雅黑" w:eastAsia="微软雅黑"/>
          <w:sz w:val="28"/>
          <w:szCs w:val="32"/>
        </w:rPr>
        <w:t>2024年7月</w:t>
      </w:r>
      <w:r>
        <w:rPr>
          <w:rFonts w:hint="eastAsia"/>
          <w:b/>
          <w:bCs/>
        </w:rPr>
        <w:br w:type="page"/>
      </w:r>
    </w:p>
    <w:p w14:paraId="6D605B38">
      <w:pPr>
        <w:spacing w:line="560" w:lineRule="exact"/>
        <w:ind w:firstLine="480" w:firstLineChars="200"/>
        <w:rPr>
          <w:b/>
          <w:bCs/>
          <w:sz w:val="24"/>
          <w:szCs w:val="28"/>
        </w:rPr>
      </w:pPr>
      <w:r>
        <w:rPr>
          <w:b/>
          <w:bCs/>
          <w:sz w:val="24"/>
          <w:szCs w:val="28"/>
        </w:rPr>
        <w:t xml:space="preserve">一、工作简况 包括任务来源、协作单位、主要工作过程、标准主要起草人 及其所做的工作等 </w:t>
      </w:r>
    </w:p>
    <w:p w14:paraId="0747F707">
      <w:pPr>
        <w:spacing w:line="560" w:lineRule="exact"/>
        <w:ind w:firstLine="480" w:firstLineChars="200"/>
        <w:rPr>
          <w:sz w:val="24"/>
          <w:szCs w:val="28"/>
        </w:rPr>
      </w:pPr>
      <w:r>
        <w:rPr>
          <w:rFonts w:hint="eastAsia"/>
          <w:sz w:val="24"/>
          <w:szCs w:val="28"/>
        </w:rPr>
        <w:t>1.1任务来源</w:t>
      </w:r>
    </w:p>
    <w:p w14:paraId="5A1C82BD">
      <w:pPr>
        <w:spacing w:line="560" w:lineRule="exact"/>
        <w:ind w:firstLine="480" w:firstLineChars="200"/>
        <w:rPr>
          <w:sz w:val="24"/>
          <w:szCs w:val="28"/>
        </w:rPr>
      </w:pPr>
      <w:r>
        <w:rPr>
          <w:rFonts w:hint="eastAsia"/>
          <w:sz w:val="24"/>
          <w:szCs w:val="28"/>
        </w:rPr>
        <w:t xml:space="preserve">石墨烯电热膜具有电热转换效率高、启动加温迅速、操作维护方便、节能环保等优点，通电后发射的远红外光线对动物生长和品质提升均有好处，在温室大棚、特种水产育苗及养殖方面，具有广阔的应用前景。我国台湾地区在海虾养殖上已广泛使用远红外线石墨烯电热膜进行加温。石墨烯恒温智能养虾技术把传统户外养虾改为室内虾槽养殖，并对虾槽进行可控的纳米小分子水循环处理，杜绝了抗生素，可让虾子存活率高于90%。 </w:t>
      </w:r>
    </w:p>
    <w:p w14:paraId="355105AA">
      <w:pPr>
        <w:spacing w:line="560" w:lineRule="exact"/>
        <w:ind w:firstLine="480" w:firstLineChars="200"/>
        <w:rPr>
          <w:rFonts w:hint="eastAsia"/>
          <w:sz w:val="24"/>
          <w:szCs w:val="28"/>
        </w:rPr>
      </w:pPr>
      <w:r>
        <w:rPr>
          <w:rFonts w:hint="eastAsia"/>
          <w:sz w:val="24"/>
          <w:szCs w:val="28"/>
        </w:rPr>
        <w:t>江苏省水产养殖规模 898 万亩，其中特种鱼苗种、南美白对虾、甲鱼、河豚、刀鱼等都需要冬季加温，目前主要加温方式有电加热、空气源热泵等方式，加温成本在1000-3300元/亩/年，空气源热泵虽然成本相对较低，但在寒冷地区应用的可靠性差，特别是在低温环境下，空气源热泵的能效比会急速下降，制热量不足。而使用石墨烯电热膜则不存在上述问题，可大幅节约能源，如果按节约加温费用500-1000 元/亩/年，仅江苏省水产养殖每年可节省加温费用60亿-120 亿元，并可降低鱼的发病率，提升鱼肉品质，从而大幅提高经济效益。</w:t>
      </w:r>
    </w:p>
    <w:p w14:paraId="7661CC49">
      <w:pPr>
        <w:spacing w:line="560" w:lineRule="exact"/>
        <w:ind w:firstLine="480" w:firstLineChars="200"/>
        <w:rPr>
          <w:rFonts w:hint="eastAsia"/>
        </w:rPr>
      </w:pPr>
      <w:r>
        <w:rPr>
          <w:rFonts w:hint="eastAsia"/>
          <w:sz w:val="24"/>
          <w:szCs w:val="24"/>
        </w:rPr>
        <w:t>经过项目组五年时间对全国各地设施农业和石墨烯产业的研究单位如北京大学石墨烯研究院、江南石墨烯研究院以及一批石墨烯生产企业实地考察、专家访谈、会议调研、文献查新，以及实施2021年度科技厅重点研发计划《石墨烯电热膜设施种养殖精准控温技术研究》以来，表明石墨烯电热膜在设施农业采暖加温技术上的应用具有广阔的市场前景。</w:t>
      </w:r>
    </w:p>
    <w:p w14:paraId="0317F124">
      <w:pPr>
        <w:spacing w:line="560" w:lineRule="exact"/>
        <w:ind w:firstLine="480" w:firstLineChars="200"/>
        <w:rPr>
          <w:sz w:val="24"/>
          <w:szCs w:val="24"/>
        </w:rPr>
      </w:pPr>
      <w:r>
        <w:rPr>
          <w:rFonts w:hint="eastAsia"/>
          <w:sz w:val="24"/>
          <w:szCs w:val="24"/>
        </w:rPr>
        <w:t>基于以上背景《石墨烯电热膜设施水产养殖控温技术规程》由江苏农林职业技术学院提出，根据《江苏省渔业协会团体标准管理办法（试行）》规定，经江苏省渔业协会团体标准工作委员会组织专家审定，于2024年6月21日发布“关于2024年江苏省渔业协会团体标准（第二批）立项的公告”正式公示立项。</w:t>
      </w:r>
    </w:p>
    <w:p w14:paraId="65DF45C6">
      <w:pPr>
        <w:spacing w:line="560" w:lineRule="exact"/>
        <w:ind w:firstLine="480" w:firstLineChars="200"/>
        <w:rPr>
          <w:sz w:val="24"/>
          <w:szCs w:val="24"/>
        </w:rPr>
      </w:pPr>
      <w:r>
        <w:rPr>
          <w:rFonts w:hint="eastAsia"/>
          <w:sz w:val="24"/>
          <w:szCs w:val="24"/>
        </w:rPr>
        <w:t>1.2协作单位</w:t>
      </w:r>
    </w:p>
    <w:p w14:paraId="362EB4DB">
      <w:pPr>
        <w:spacing w:line="560" w:lineRule="exact"/>
        <w:ind w:firstLine="480" w:firstLineChars="200"/>
        <w:rPr>
          <w:sz w:val="24"/>
          <w:szCs w:val="24"/>
        </w:rPr>
      </w:pPr>
      <w:r>
        <w:rPr>
          <w:rFonts w:hint="eastAsia"/>
          <w:sz w:val="24"/>
          <w:szCs w:val="24"/>
        </w:rPr>
        <w:t>为了使标准更具适用性，在标准编制过程中，充分借鉴相关科研单位、企业的实际使用情况。在江苏农林职业技术学院的组织下，来自高校、科研单位、养殖企业等相关领域的人员共同组成编制组，开展标准编制工作。</w:t>
      </w:r>
    </w:p>
    <w:p w14:paraId="060495CA">
      <w:pPr>
        <w:spacing w:line="560" w:lineRule="exact"/>
        <w:ind w:firstLine="480" w:firstLineChars="200"/>
        <w:rPr>
          <w:sz w:val="24"/>
          <w:szCs w:val="24"/>
        </w:rPr>
      </w:pPr>
      <w:r>
        <w:rPr>
          <w:rFonts w:hint="eastAsia"/>
          <w:sz w:val="24"/>
          <w:szCs w:val="24"/>
        </w:rPr>
        <w:t>1.3主要工作过程</w:t>
      </w:r>
    </w:p>
    <w:p w14:paraId="56CEC9EF">
      <w:pPr>
        <w:spacing w:line="560" w:lineRule="exact"/>
        <w:ind w:firstLine="480" w:firstLineChars="200"/>
        <w:rPr>
          <w:sz w:val="24"/>
          <w:szCs w:val="24"/>
        </w:rPr>
      </w:pPr>
      <w:r>
        <w:rPr>
          <w:rFonts w:hint="eastAsia"/>
          <w:sz w:val="24"/>
          <w:szCs w:val="24"/>
        </w:rPr>
        <w:t>在确定编制《石墨烯电热膜设施水产养殖控温技术规程》标准任务后，江苏农林职业技术学院成立了标准编制小组。通过实地考察、专家访谈、会议调研、文献查阅，在收集、整理了大量的技术资料和一线生产资料，取得大量详实资料的基础上，结合前期北京大学石墨烯研究院、江南石墨烯研究院等研发和使用单位的反馈。按照GB/T1.1-2020《标准化工作导则 第1部分：标准化文件的结构和起草规则》的要求和规定起草。</w:t>
      </w:r>
    </w:p>
    <w:p w14:paraId="6F7AB856">
      <w:pPr>
        <w:spacing w:line="560" w:lineRule="exact"/>
        <w:ind w:firstLine="480" w:firstLineChars="200"/>
        <w:rPr>
          <w:sz w:val="24"/>
          <w:szCs w:val="24"/>
        </w:rPr>
      </w:pPr>
      <w:r>
        <w:rPr>
          <w:rFonts w:hint="eastAsia"/>
          <w:sz w:val="24"/>
          <w:szCs w:val="24"/>
        </w:rPr>
        <w:t>1.4标准的主要起草人和工作</w:t>
      </w:r>
    </w:p>
    <w:p w14:paraId="4790798D">
      <w:pPr>
        <w:spacing w:line="560" w:lineRule="exact"/>
        <w:ind w:firstLine="480" w:firstLineChars="200"/>
        <w:rPr>
          <w:sz w:val="24"/>
          <w:szCs w:val="24"/>
        </w:rPr>
      </w:pPr>
      <w:r>
        <w:rPr>
          <w:rFonts w:hint="eastAsia"/>
          <w:sz w:val="24"/>
          <w:szCs w:val="24"/>
        </w:rPr>
        <w:t>主要起草人为张坤、李刚、杜婕、吴沛良、陈军、唐少春、胡立兵、张金莲、蒋丽、王煜恒、王会聪、吴琼、刘远柱。标准主要起草人和所做工作见表1。</w:t>
      </w:r>
    </w:p>
    <w:p w14:paraId="2637BB97">
      <w:pPr>
        <w:spacing w:line="560" w:lineRule="exact"/>
        <w:ind w:firstLine="480" w:firstLineChars="200"/>
        <w:jc w:val="center"/>
        <w:rPr>
          <w:sz w:val="24"/>
          <w:szCs w:val="24"/>
        </w:rPr>
      </w:pPr>
      <w:r>
        <w:rPr>
          <w:rFonts w:hint="eastAsia"/>
          <w:sz w:val="24"/>
          <w:szCs w:val="24"/>
        </w:rPr>
        <w:t>表1《石墨烯电热膜设施水产养殖控温技术规程》标准起草小组名单</w:t>
      </w:r>
    </w:p>
    <w:tbl>
      <w:tblPr>
        <w:tblStyle w:val="9"/>
        <w:tblW w:w="0" w:type="auto"/>
        <w:tblInd w:w="0" w:type="dxa"/>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3"/>
        <w:gridCol w:w="1275"/>
        <w:gridCol w:w="3828"/>
        <w:gridCol w:w="2200"/>
      </w:tblGrid>
      <w:tr w14:paraId="74388A36">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993" w:type="dxa"/>
            <w:tcBorders>
              <w:bottom w:val="single" w:color="7E7E7E" w:themeColor="text1" w:themeTint="80" w:sz="4" w:space="0"/>
              <w:insideH w:val="single" w:sz="4" w:space="0"/>
            </w:tcBorders>
            <w:vAlign w:val="center"/>
          </w:tcPr>
          <w:p w14:paraId="502D1C76">
            <w:pPr>
              <w:spacing w:line="560" w:lineRule="exact"/>
              <w:rPr>
                <w:rFonts w:hint="eastAsia"/>
                <w:b w:val="0"/>
                <w:bCs w:val="0"/>
                <w:sz w:val="24"/>
                <w:szCs w:val="24"/>
              </w:rPr>
            </w:pPr>
            <w:r>
              <w:rPr>
                <w:rFonts w:hint="eastAsia"/>
                <w:b w:val="0"/>
                <w:bCs w:val="0"/>
                <w:sz w:val="24"/>
                <w:szCs w:val="24"/>
              </w:rPr>
              <w:t>序号</w:t>
            </w:r>
          </w:p>
        </w:tc>
        <w:tc>
          <w:tcPr>
            <w:tcW w:w="1275" w:type="dxa"/>
            <w:tcBorders>
              <w:bottom w:val="single" w:color="7E7E7E" w:themeColor="text1" w:themeTint="80" w:sz="4" w:space="0"/>
              <w:insideH w:val="single" w:sz="4" w:space="0"/>
            </w:tcBorders>
            <w:vAlign w:val="center"/>
          </w:tcPr>
          <w:p w14:paraId="6DA9BA53">
            <w:pPr>
              <w:spacing w:line="560" w:lineRule="exact"/>
              <w:rPr>
                <w:rFonts w:hint="eastAsia"/>
                <w:b w:val="0"/>
                <w:bCs w:val="0"/>
                <w:sz w:val="24"/>
                <w:szCs w:val="24"/>
              </w:rPr>
            </w:pPr>
            <w:r>
              <w:rPr>
                <w:rFonts w:hint="eastAsia"/>
                <w:b w:val="0"/>
                <w:bCs w:val="0"/>
                <w:sz w:val="24"/>
                <w:szCs w:val="24"/>
              </w:rPr>
              <w:t>姓名</w:t>
            </w:r>
          </w:p>
        </w:tc>
        <w:tc>
          <w:tcPr>
            <w:tcW w:w="3828" w:type="dxa"/>
            <w:tcBorders>
              <w:bottom w:val="single" w:color="7E7E7E" w:themeColor="text1" w:themeTint="80" w:sz="4" w:space="0"/>
              <w:insideH w:val="single" w:sz="4" w:space="0"/>
            </w:tcBorders>
            <w:vAlign w:val="center"/>
          </w:tcPr>
          <w:p w14:paraId="235DEBBA">
            <w:pPr>
              <w:spacing w:line="560" w:lineRule="exact"/>
              <w:rPr>
                <w:rFonts w:hint="eastAsia"/>
                <w:b w:val="0"/>
                <w:bCs w:val="0"/>
                <w:sz w:val="24"/>
                <w:szCs w:val="24"/>
              </w:rPr>
            </w:pPr>
            <w:r>
              <w:rPr>
                <w:rFonts w:hint="eastAsia"/>
                <w:b w:val="0"/>
                <w:bCs w:val="0"/>
                <w:sz w:val="24"/>
                <w:szCs w:val="24"/>
              </w:rPr>
              <w:t>单位</w:t>
            </w:r>
          </w:p>
        </w:tc>
        <w:tc>
          <w:tcPr>
            <w:tcW w:w="2200" w:type="dxa"/>
            <w:tcBorders>
              <w:bottom w:val="single" w:color="7E7E7E" w:themeColor="text1" w:themeTint="80" w:sz="4" w:space="0"/>
              <w:insideH w:val="single" w:sz="4" w:space="0"/>
            </w:tcBorders>
            <w:vAlign w:val="center"/>
          </w:tcPr>
          <w:p w14:paraId="652915DC">
            <w:pPr>
              <w:spacing w:line="560" w:lineRule="exact"/>
              <w:rPr>
                <w:rFonts w:hint="eastAsia"/>
                <w:b w:val="0"/>
                <w:bCs w:val="0"/>
                <w:sz w:val="24"/>
                <w:szCs w:val="24"/>
              </w:rPr>
            </w:pPr>
            <w:r>
              <w:rPr>
                <w:rFonts w:hint="eastAsia"/>
                <w:b w:val="0"/>
                <w:bCs w:val="0"/>
                <w:sz w:val="24"/>
                <w:szCs w:val="24"/>
              </w:rPr>
              <w:t>所做工作</w:t>
            </w:r>
          </w:p>
        </w:tc>
      </w:tr>
      <w:tr w14:paraId="75C38586">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993" w:type="dxa"/>
            <w:tcBorders>
              <w:top w:val="single" w:color="7E7E7E" w:themeColor="text1" w:themeTint="80" w:sz="4" w:space="0"/>
              <w:bottom w:val="single" w:color="7E7E7E" w:themeColor="text1" w:themeTint="80" w:sz="4" w:space="0"/>
              <w:insideH w:val="single" w:sz="4" w:space="0"/>
            </w:tcBorders>
            <w:vAlign w:val="center"/>
          </w:tcPr>
          <w:p w14:paraId="381B2C09">
            <w:pPr>
              <w:spacing w:line="560" w:lineRule="exact"/>
              <w:rPr>
                <w:rFonts w:hint="eastAsia"/>
                <w:b w:val="0"/>
                <w:bCs w:val="0"/>
                <w:sz w:val="24"/>
                <w:szCs w:val="24"/>
              </w:rPr>
            </w:pPr>
            <w:r>
              <w:rPr>
                <w:rFonts w:hint="eastAsia"/>
                <w:b w:val="0"/>
                <w:bCs w:val="0"/>
                <w:sz w:val="24"/>
                <w:szCs w:val="24"/>
              </w:rPr>
              <w:t>1</w:t>
            </w:r>
          </w:p>
        </w:tc>
        <w:tc>
          <w:tcPr>
            <w:tcW w:w="1275" w:type="dxa"/>
            <w:tcBorders>
              <w:top w:val="single" w:color="7E7E7E" w:themeColor="text1" w:themeTint="80" w:sz="4" w:space="0"/>
              <w:bottom w:val="single" w:color="7E7E7E" w:themeColor="text1" w:themeTint="80" w:sz="4" w:space="0"/>
              <w:insideH w:val="single" w:sz="4" w:space="0"/>
            </w:tcBorders>
            <w:vAlign w:val="center"/>
          </w:tcPr>
          <w:p w14:paraId="057516D6">
            <w:pPr>
              <w:spacing w:line="560" w:lineRule="exact"/>
              <w:rPr>
                <w:rFonts w:hint="eastAsia"/>
                <w:sz w:val="24"/>
                <w:szCs w:val="24"/>
              </w:rPr>
            </w:pPr>
            <w:r>
              <w:rPr>
                <w:rFonts w:hint="eastAsia"/>
                <w:sz w:val="24"/>
                <w:szCs w:val="24"/>
              </w:rPr>
              <w:t>张坤</w:t>
            </w:r>
          </w:p>
        </w:tc>
        <w:tc>
          <w:tcPr>
            <w:tcW w:w="3828" w:type="dxa"/>
            <w:tcBorders>
              <w:top w:val="single" w:color="7E7E7E" w:themeColor="text1" w:themeTint="80" w:sz="4" w:space="0"/>
              <w:bottom w:val="single" w:color="7E7E7E" w:themeColor="text1" w:themeTint="80" w:sz="4" w:space="0"/>
              <w:insideH w:val="single" w:sz="4" w:space="0"/>
            </w:tcBorders>
            <w:vAlign w:val="center"/>
          </w:tcPr>
          <w:p w14:paraId="77F9C0BE">
            <w:pPr>
              <w:spacing w:line="560" w:lineRule="exact"/>
              <w:rPr>
                <w:rFonts w:hint="eastAsia"/>
                <w:sz w:val="24"/>
                <w:szCs w:val="24"/>
              </w:rPr>
            </w:pPr>
            <w:r>
              <w:rPr>
                <w:rFonts w:hint="eastAsia"/>
                <w:sz w:val="24"/>
                <w:szCs w:val="24"/>
              </w:rPr>
              <w:t>江苏农林职业技术学院</w:t>
            </w:r>
          </w:p>
        </w:tc>
        <w:tc>
          <w:tcPr>
            <w:tcW w:w="2200" w:type="dxa"/>
            <w:tcBorders>
              <w:top w:val="single" w:color="7E7E7E" w:themeColor="text1" w:themeTint="80" w:sz="4" w:space="0"/>
              <w:bottom w:val="single" w:color="7E7E7E" w:themeColor="text1" w:themeTint="80" w:sz="4" w:space="0"/>
              <w:insideH w:val="single" w:sz="4" w:space="0"/>
            </w:tcBorders>
            <w:vAlign w:val="center"/>
          </w:tcPr>
          <w:p w14:paraId="43643149">
            <w:pPr>
              <w:spacing w:line="560" w:lineRule="exact"/>
              <w:rPr>
                <w:rFonts w:hint="eastAsia"/>
                <w:sz w:val="24"/>
                <w:szCs w:val="24"/>
              </w:rPr>
            </w:pPr>
            <w:r>
              <w:rPr>
                <w:rFonts w:hint="eastAsia"/>
                <w:sz w:val="24"/>
                <w:szCs w:val="24"/>
              </w:rPr>
              <w:t>调研、标准撰写</w:t>
            </w:r>
          </w:p>
        </w:tc>
      </w:tr>
      <w:tr w14:paraId="740C7184">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993" w:type="dxa"/>
            <w:vAlign w:val="center"/>
          </w:tcPr>
          <w:p w14:paraId="68E654DF">
            <w:pPr>
              <w:spacing w:line="560" w:lineRule="exact"/>
              <w:rPr>
                <w:rFonts w:hint="eastAsia"/>
                <w:b w:val="0"/>
                <w:bCs w:val="0"/>
                <w:sz w:val="24"/>
                <w:szCs w:val="24"/>
              </w:rPr>
            </w:pPr>
            <w:r>
              <w:rPr>
                <w:rFonts w:hint="eastAsia"/>
                <w:b w:val="0"/>
                <w:bCs w:val="0"/>
                <w:sz w:val="24"/>
                <w:szCs w:val="24"/>
              </w:rPr>
              <w:t>2</w:t>
            </w:r>
          </w:p>
        </w:tc>
        <w:tc>
          <w:tcPr>
            <w:tcW w:w="1275" w:type="dxa"/>
            <w:vAlign w:val="center"/>
          </w:tcPr>
          <w:p w14:paraId="6752DE21">
            <w:pPr>
              <w:spacing w:line="560" w:lineRule="exact"/>
              <w:rPr>
                <w:rFonts w:hint="eastAsia"/>
                <w:sz w:val="24"/>
                <w:szCs w:val="24"/>
              </w:rPr>
            </w:pPr>
            <w:r>
              <w:rPr>
                <w:rFonts w:hint="eastAsia"/>
                <w:sz w:val="24"/>
                <w:szCs w:val="24"/>
              </w:rPr>
              <w:t>李刚</w:t>
            </w:r>
          </w:p>
        </w:tc>
        <w:tc>
          <w:tcPr>
            <w:tcW w:w="3828" w:type="dxa"/>
            <w:vAlign w:val="center"/>
          </w:tcPr>
          <w:p w14:paraId="71208023">
            <w:pPr>
              <w:spacing w:line="560" w:lineRule="exact"/>
              <w:rPr>
                <w:rFonts w:hint="eastAsia"/>
                <w:sz w:val="24"/>
                <w:szCs w:val="24"/>
              </w:rPr>
            </w:pPr>
            <w:r>
              <w:rPr>
                <w:rFonts w:hint="eastAsia"/>
                <w:sz w:val="24"/>
                <w:szCs w:val="24"/>
              </w:rPr>
              <w:t>江苏农林职业技术学院</w:t>
            </w:r>
          </w:p>
        </w:tc>
        <w:tc>
          <w:tcPr>
            <w:tcW w:w="2200" w:type="dxa"/>
            <w:vAlign w:val="center"/>
          </w:tcPr>
          <w:p w14:paraId="06E0AAFD">
            <w:pPr>
              <w:spacing w:line="560" w:lineRule="exact"/>
              <w:rPr>
                <w:rFonts w:hint="eastAsia"/>
                <w:sz w:val="24"/>
                <w:szCs w:val="24"/>
              </w:rPr>
            </w:pPr>
            <w:r>
              <w:rPr>
                <w:rFonts w:hint="eastAsia"/>
                <w:sz w:val="24"/>
                <w:szCs w:val="24"/>
              </w:rPr>
              <w:t>标准组织</w:t>
            </w:r>
          </w:p>
        </w:tc>
      </w:tr>
      <w:tr w14:paraId="4BD7F6C2">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993" w:type="dxa"/>
            <w:tcBorders>
              <w:top w:val="single" w:color="7E7E7E" w:themeColor="text1" w:themeTint="80" w:sz="4" w:space="0"/>
              <w:bottom w:val="single" w:color="7E7E7E" w:themeColor="text1" w:themeTint="80" w:sz="4" w:space="0"/>
              <w:insideH w:val="single" w:sz="4" w:space="0"/>
            </w:tcBorders>
            <w:vAlign w:val="center"/>
          </w:tcPr>
          <w:p w14:paraId="1C6BCB58">
            <w:pPr>
              <w:spacing w:line="560" w:lineRule="exact"/>
              <w:rPr>
                <w:rFonts w:hint="eastAsia"/>
                <w:b w:val="0"/>
                <w:bCs w:val="0"/>
                <w:sz w:val="24"/>
                <w:szCs w:val="24"/>
              </w:rPr>
            </w:pPr>
            <w:r>
              <w:rPr>
                <w:rFonts w:hint="eastAsia"/>
                <w:b w:val="0"/>
                <w:bCs w:val="0"/>
                <w:sz w:val="24"/>
                <w:szCs w:val="24"/>
              </w:rPr>
              <w:t>3</w:t>
            </w:r>
          </w:p>
        </w:tc>
        <w:tc>
          <w:tcPr>
            <w:tcW w:w="1275" w:type="dxa"/>
            <w:tcBorders>
              <w:top w:val="single" w:color="7E7E7E" w:themeColor="text1" w:themeTint="80" w:sz="4" w:space="0"/>
              <w:bottom w:val="single" w:color="7E7E7E" w:themeColor="text1" w:themeTint="80" w:sz="4" w:space="0"/>
              <w:insideH w:val="single" w:sz="4" w:space="0"/>
            </w:tcBorders>
            <w:vAlign w:val="center"/>
          </w:tcPr>
          <w:p w14:paraId="6E64A224">
            <w:pPr>
              <w:spacing w:line="560" w:lineRule="exact"/>
              <w:rPr>
                <w:rFonts w:hint="eastAsia"/>
                <w:sz w:val="24"/>
                <w:szCs w:val="24"/>
              </w:rPr>
            </w:pPr>
            <w:r>
              <w:rPr>
                <w:rFonts w:hint="eastAsia"/>
                <w:sz w:val="24"/>
                <w:szCs w:val="24"/>
              </w:rPr>
              <w:t>杜婕</w:t>
            </w:r>
          </w:p>
        </w:tc>
        <w:tc>
          <w:tcPr>
            <w:tcW w:w="3828" w:type="dxa"/>
            <w:tcBorders>
              <w:top w:val="single" w:color="7E7E7E" w:themeColor="text1" w:themeTint="80" w:sz="4" w:space="0"/>
              <w:bottom w:val="single" w:color="7E7E7E" w:themeColor="text1" w:themeTint="80" w:sz="4" w:space="0"/>
              <w:insideH w:val="single" w:sz="4" w:space="0"/>
            </w:tcBorders>
            <w:vAlign w:val="center"/>
          </w:tcPr>
          <w:p w14:paraId="25AD419B">
            <w:pPr>
              <w:spacing w:line="560" w:lineRule="exact"/>
              <w:rPr>
                <w:rFonts w:hint="eastAsia"/>
                <w:sz w:val="24"/>
                <w:szCs w:val="24"/>
              </w:rPr>
            </w:pPr>
            <w:r>
              <w:rPr>
                <w:rFonts w:hint="eastAsia"/>
                <w:sz w:val="24"/>
                <w:szCs w:val="24"/>
              </w:rPr>
              <w:t>江苏农林职业技术学院</w:t>
            </w:r>
          </w:p>
        </w:tc>
        <w:tc>
          <w:tcPr>
            <w:tcW w:w="2200" w:type="dxa"/>
            <w:tcBorders>
              <w:top w:val="single" w:color="7E7E7E" w:themeColor="text1" w:themeTint="80" w:sz="4" w:space="0"/>
              <w:bottom w:val="single" w:color="7E7E7E" w:themeColor="text1" w:themeTint="80" w:sz="4" w:space="0"/>
              <w:insideH w:val="single" w:sz="4" w:space="0"/>
            </w:tcBorders>
            <w:vAlign w:val="center"/>
          </w:tcPr>
          <w:p w14:paraId="02BA9AF9">
            <w:pPr>
              <w:spacing w:line="560" w:lineRule="exact"/>
              <w:rPr>
                <w:rFonts w:hint="eastAsia"/>
                <w:sz w:val="24"/>
                <w:szCs w:val="24"/>
              </w:rPr>
            </w:pPr>
            <w:r>
              <w:rPr>
                <w:rFonts w:hint="eastAsia"/>
                <w:sz w:val="24"/>
                <w:szCs w:val="24"/>
              </w:rPr>
              <w:t>调研</w:t>
            </w:r>
          </w:p>
        </w:tc>
      </w:tr>
      <w:tr w14:paraId="6950AB64">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993" w:type="dxa"/>
            <w:vAlign w:val="center"/>
          </w:tcPr>
          <w:p w14:paraId="17650011">
            <w:pPr>
              <w:spacing w:line="560" w:lineRule="exact"/>
              <w:rPr>
                <w:rFonts w:hint="eastAsia"/>
                <w:b w:val="0"/>
                <w:bCs w:val="0"/>
                <w:sz w:val="24"/>
                <w:szCs w:val="24"/>
              </w:rPr>
            </w:pPr>
            <w:r>
              <w:rPr>
                <w:rFonts w:hint="eastAsia"/>
                <w:b w:val="0"/>
                <w:bCs w:val="0"/>
                <w:sz w:val="24"/>
                <w:szCs w:val="24"/>
              </w:rPr>
              <w:t>4</w:t>
            </w:r>
          </w:p>
        </w:tc>
        <w:tc>
          <w:tcPr>
            <w:tcW w:w="1275" w:type="dxa"/>
            <w:vAlign w:val="center"/>
          </w:tcPr>
          <w:p w14:paraId="18C0432D">
            <w:pPr>
              <w:spacing w:line="560" w:lineRule="exact"/>
              <w:rPr>
                <w:rFonts w:hint="eastAsia"/>
                <w:sz w:val="24"/>
                <w:szCs w:val="24"/>
              </w:rPr>
            </w:pPr>
            <w:r>
              <w:rPr>
                <w:rFonts w:hint="eastAsia"/>
                <w:sz w:val="24"/>
                <w:szCs w:val="24"/>
              </w:rPr>
              <w:t>吴沛良</w:t>
            </w:r>
          </w:p>
        </w:tc>
        <w:tc>
          <w:tcPr>
            <w:tcW w:w="3828" w:type="dxa"/>
            <w:vAlign w:val="center"/>
          </w:tcPr>
          <w:p w14:paraId="22DDD543">
            <w:pPr>
              <w:spacing w:line="560" w:lineRule="exact"/>
              <w:rPr>
                <w:rFonts w:hint="eastAsia"/>
                <w:sz w:val="24"/>
                <w:szCs w:val="24"/>
              </w:rPr>
            </w:pPr>
            <w:r>
              <w:rPr>
                <w:rFonts w:hint="eastAsia"/>
                <w:sz w:val="24"/>
                <w:szCs w:val="24"/>
              </w:rPr>
              <w:t>江苏省石墨烯农业科技推广联盟</w:t>
            </w:r>
          </w:p>
        </w:tc>
        <w:tc>
          <w:tcPr>
            <w:tcW w:w="2200" w:type="dxa"/>
            <w:vAlign w:val="center"/>
          </w:tcPr>
          <w:p w14:paraId="334B42DB">
            <w:pPr>
              <w:spacing w:line="560" w:lineRule="exact"/>
              <w:rPr>
                <w:rFonts w:hint="eastAsia"/>
                <w:sz w:val="24"/>
                <w:szCs w:val="24"/>
              </w:rPr>
            </w:pPr>
            <w:r>
              <w:rPr>
                <w:rFonts w:hint="eastAsia"/>
                <w:sz w:val="24"/>
                <w:szCs w:val="24"/>
              </w:rPr>
              <w:t>标准组织</w:t>
            </w:r>
          </w:p>
        </w:tc>
      </w:tr>
      <w:tr w14:paraId="1541357D">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993" w:type="dxa"/>
            <w:tcBorders>
              <w:top w:val="single" w:color="7E7E7E" w:themeColor="text1" w:themeTint="80" w:sz="4" w:space="0"/>
              <w:bottom w:val="single" w:color="7E7E7E" w:themeColor="text1" w:themeTint="80" w:sz="4" w:space="0"/>
              <w:insideH w:val="single" w:sz="4" w:space="0"/>
            </w:tcBorders>
            <w:vAlign w:val="center"/>
          </w:tcPr>
          <w:p w14:paraId="37224214">
            <w:pPr>
              <w:spacing w:line="560" w:lineRule="exact"/>
              <w:rPr>
                <w:rFonts w:hint="eastAsia"/>
                <w:b w:val="0"/>
                <w:bCs w:val="0"/>
                <w:sz w:val="24"/>
                <w:szCs w:val="24"/>
              </w:rPr>
            </w:pPr>
            <w:r>
              <w:rPr>
                <w:rFonts w:hint="eastAsia"/>
                <w:b w:val="0"/>
                <w:bCs w:val="0"/>
                <w:sz w:val="24"/>
                <w:szCs w:val="24"/>
              </w:rPr>
              <w:t>5</w:t>
            </w:r>
          </w:p>
        </w:tc>
        <w:tc>
          <w:tcPr>
            <w:tcW w:w="1275" w:type="dxa"/>
            <w:tcBorders>
              <w:top w:val="single" w:color="7E7E7E" w:themeColor="text1" w:themeTint="80" w:sz="4" w:space="0"/>
              <w:bottom w:val="single" w:color="7E7E7E" w:themeColor="text1" w:themeTint="80" w:sz="4" w:space="0"/>
              <w:insideH w:val="single" w:sz="4" w:space="0"/>
            </w:tcBorders>
            <w:vAlign w:val="center"/>
          </w:tcPr>
          <w:p w14:paraId="384DBC54">
            <w:pPr>
              <w:spacing w:line="560" w:lineRule="exact"/>
              <w:rPr>
                <w:rFonts w:hint="eastAsia"/>
                <w:sz w:val="24"/>
                <w:szCs w:val="24"/>
              </w:rPr>
            </w:pPr>
            <w:r>
              <w:rPr>
                <w:rFonts w:hint="eastAsia"/>
                <w:sz w:val="24"/>
                <w:szCs w:val="24"/>
              </w:rPr>
              <w:t>陈军</w:t>
            </w:r>
          </w:p>
        </w:tc>
        <w:tc>
          <w:tcPr>
            <w:tcW w:w="3828" w:type="dxa"/>
            <w:tcBorders>
              <w:top w:val="single" w:color="7E7E7E" w:themeColor="text1" w:themeTint="80" w:sz="4" w:space="0"/>
              <w:bottom w:val="single" w:color="7E7E7E" w:themeColor="text1" w:themeTint="80" w:sz="4" w:space="0"/>
              <w:insideH w:val="single" w:sz="4" w:space="0"/>
            </w:tcBorders>
            <w:vAlign w:val="center"/>
          </w:tcPr>
          <w:p w14:paraId="193EABCC">
            <w:pPr>
              <w:spacing w:line="560" w:lineRule="exact"/>
              <w:rPr>
                <w:rFonts w:hint="eastAsia"/>
                <w:sz w:val="24"/>
                <w:szCs w:val="24"/>
              </w:rPr>
            </w:pPr>
            <w:r>
              <w:rPr>
                <w:rFonts w:hint="eastAsia"/>
                <w:sz w:val="24"/>
                <w:szCs w:val="24"/>
              </w:rPr>
              <w:t>江苏农林职业技术学院</w:t>
            </w:r>
          </w:p>
        </w:tc>
        <w:tc>
          <w:tcPr>
            <w:tcW w:w="2200" w:type="dxa"/>
            <w:tcBorders>
              <w:top w:val="single" w:color="7E7E7E" w:themeColor="text1" w:themeTint="80" w:sz="4" w:space="0"/>
              <w:bottom w:val="single" w:color="7E7E7E" w:themeColor="text1" w:themeTint="80" w:sz="4" w:space="0"/>
              <w:insideH w:val="single" w:sz="4" w:space="0"/>
            </w:tcBorders>
            <w:vAlign w:val="center"/>
          </w:tcPr>
          <w:p w14:paraId="14517D50">
            <w:pPr>
              <w:spacing w:line="560" w:lineRule="exact"/>
              <w:rPr>
                <w:rFonts w:hint="eastAsia"/>
                <w:sz w:val="24"/>
                <w:szCs w:val="24"/>
              </w:rPr>
            </w:pPr>
            <w:r>
              <w:rPr>
                <w:rFonts w:hint="eastAsia"/>
                <w:sz w:val="24"/>
                <w:szCs w:val="24"/>
              </w:rPr>
              <w:t>标准组织</w:t>
            </w:r>
          </w:p>
        </w:tc>
      </w:tr>
      <w:tr w14:paraId="3F9FB83B">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993" w:type="dxa"/>
            <w:vAlign w:val="center"/>
          </w:tcPr>
          <w:p w14:paraId="01ADC492">
            <w:pPr>
              <w:spacing w:line="560" w:lineRule="exact"/>
              <w:rPr>
                <w:rFonts w:hint="eastAsia"/>
                <w:b w:val="0"/>
                <w:bCs w:val="0"/>
                <w:sz w:val="24"/>
                <w:szCs w:val="24"/>
              </w:rPr>
            </w:pPr>
            <w:r>
              <w:rPr>
                <w:rFonts w:hint="eastAsia"/>
                <w:b w:val="0"/>
                <w:bCs w:val="0"/>
                <w:sz w:val="24"/>
                <w:szCs w:val="24"/>
              </w:rPr>
              <w:t>6</w:t>
            </w:r>
          </w:p>
        </w:tc>
        <w:tc>
          <w:tcPr>
            <w:tcW w:w="1275" w:type="dxa"/>
            <w:vAlign w:val="center"/>
          </w:tcPr>
          <w:p w14:paraId="025AC572">
            <w:pPr>
              <w:spacing w:line="560" w:lineRule="exact"/>
              <w:rPr>
                <w:rFonts w:hint="eastAsia"/>
                <w:sz w:val="24"/>
                <w:szCs w:val="24"/>
              </w:rPr>
            </w:pPr>
            <w:r>
              <w:rPr>
                <w:rFonts w:hint="eastAsia"/>
                <w:sz w:val="24"/>
                <w:szCs w:val="24"/>
              </w:rPr>
              <w:t>唐少春</w:t>
            </w:r>
          </w:p>
        </w:tc>
        <w:tc>
          <w:tcPr>
            <w:tcW w:w="3828" w:type="dxa"/>
            <w:vAlign w:val="center"/>
          </w:tcPr>
          <w:p w14:paraId="6F5566ED">
            <w:pPr>
              <w:spacing w:line="560" w:lineRule="exact"/>
              <w:rPr>
                <w:rFonts w:hint="eastAsia"/>
                <w:sz w:val="24"/>
                <w:szCs w:val="24"/>
              </w:rPr>
            </w:pPr>
            <w:r>
              <w:rPr>
                <w:rFonts w:hint="eastAsia"/>
                <w:sz w:val="24"/>
                <w:szCs w:val="24"/>
              </w:rPr>
              <w:t>海安南京大学高新技术研究院</w:t>
            </w:r>
          </w:p>
        </w:tc>
        <w:tc>
          <w:tcPr>
            <w:tcW w:w="2200" w:type="dxa"/>
            <w:vAlign w:val="center"/>
          </w:tcPr>
          <w:p w14:paraId="3A5A91FF">
            <w:pPr>
              <w:spacing w:line="560" w:lineRule="exact"/>
              <w:rPr>
                <w:rFonts w:hint="eastAsia"/>
                <w:sz w:val="24"/>
                <w:szCs w:val="24"/>
              </w:rPr>
            </w:pPr>
            <w:r>
              <w:rPr>
                <w:rFonts w:hint="eastAsia"/>
                <w:sz w:val="24"/>
                <w:szCs w:val="24"/>
              </w:rPr>
              <w:t>设备研制</w:t>
            </w:r>
          </w:p>
        </w:tc>
      </w:tr>
      <w:tr w14:paraId="3A207B94">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993" w:type="dxa"/>
            <w:tcBorders>
              <w:top w:val="single" w:color="7E7E7E" w:themeColor="text1" w:themeTint="80" w:sz="4" w:space="0"/>
              <w:bottom w:val="single" w:color="7E7E7E" w:themeColor="text1" w:themeTint="80" w:sz="4" w:space="0"/>
              <w:insideH w:val="single" w:sz="4" w:space="0"/>
            </w:tcBorders>
            <w:vAlign w:val="center"/>
          </w:tcPr>
          <w:p w14:paraId="030CB235">
            <w:pPr>
              <w:spacing w:line="560" w:lineRule="exact"/>
              <w:rPr>
                <w:rFonts w:hint="eastAsia"/>
                <w:b w:val="0"/>
                <w:bCs w:val="0"/>
                <w:sz w:val="24"/>
                <w:szCs w:val="24"/>
              </w:rPr>
            </w:pPr>
            <w:r>
              <w:rPr>
                <w:rFonts w:hint="eastAsia"/>
                <w:b w:val="0"/>
                <w:bCs w:val="0"/>
                <w:sz w:val="24"/>
                <w:szCs w:val="24"/>
              </w:rPr>
              <w:t>7</w:t>
            </w:r>
          </w:p>
        </w:tc>
        <w:tc>
          <w:tcPr>
            <w:tcW w:w="1275" w:type="dxa"/>
            <w:tcBorders>
              <w:top w:val="single" w:color="7E7E7E" w:themeColor="text1" w:themeTint="80" w:sz="4" w:space="0"/>
              <w:bottom w:val="single" w:color="7E7E7E" w:themeColor="text1" w:themeTint="80" w:sz="4" w:space="0"/>
              <w:insideH w:val="single" w:sz="4" w:space="0"/>
            </w:tcBorders>
            <w:vAlign w:val="center"/>
          </w:tcPr>
          <w:p w14:paraId="191D3F39">
            <w:pPr>
              <w:spacing w:line="560" w:lineRule="exact"/>
              <w:rPr>
                <w:rFonts w:hint="eastAsia"/>
                <w:sz w:val="24"/>
                <w:szCs w:val="24"/>
              </w:rPr>
            </w:pPr>
            <w:r>
              <w:rPr>
                <w:rFonts w:hint="eastAsia"/>
                <w:sz w:val="24"/>
                <w:szCs w:val="24"/>
              </w:rPr>
              <w:t>胡立兵</w:t>
            </w:r>
          </w:p>
        </w:tc>
        <w:tc>
          <w:tcPr>
            <w:tcW w:w="3828" w:type="dxa"/>
            <w:tcBorders>
              <w:top w:val="single" w:color="7E7E7E" w:themeColor="text1" w:themeTint="80" w:sz="4" w:space="0"/>
              <w:bottom w:val="single" w:color="7E7E7E" w:themeColor="text1" w:themeTint="80" w:sz="4" w:space="0"/>
              <w:insideH w:val="single" w:sz="4" w:space="0"/>
            </w:tcBorders>
            <w:vAlign w:val="center"/>
          </w:tcPr>
          <w:p w14:paraId="120F2862">
            <w:pPr>
              <w:spacing w:line="560" w:lineRule="exact"/>
              <w:rPr>
                <w:rFonts w:hint="eastAsia"/>
                <w:sz w:val="24"/>
                <w:szCs w:val="24"/>
              </w:rPr>
            </w:pPr>
            <w:r>
              <w:rPr>
                <w:rFonts w:hint="eastAsia"/>
                <w:sz w:val="24"/>
                <w:szCs w:val="24"/>
              </w:rPr>
              <w:t>江苏中农创石墨烯研究院有限公司</w:t>
            </w:r>
          </w:p>
        </w:tc>
        <w:tc>
          <w:tcPr>
            <w:tcW w:w="2200" w:type="dxa"/>
            <w:tcBorders>
              <w:top w:val="single" w:color="7E7E7E" w:themeColor="text1" w:themeTint="80" w:sz="4" w:space="0"/>
              <w:bottom w:val="single" w:color="7E7E7E" w:themeColor="text1" w:themeTint="80" w:sz="4" w:space="0"/>
              <w:insideH w:val="single" w:sz="4" w:space="0"/>
            </w:tcBorders>
            <w:vAlign w:val="center"/>
          </w:tcPr>
          <w:p w14:paraId="6A8CE455">
            <w:pPr>
              <w:spacing w:line="560" w:lineRule="exact"/>
              <w:rPr>
                <w:rFonts w:hint="eastAsia"/>
                <w:sz w:val="24"/>
                <w:szCs w:val="24"/>
              </w:rPr>
            </w:pPr>
            <w:r>
              <w:rPr>
                <w:rFonts w:hint="eastAsia"/>
                <w:sz w:val="24"/>
                <w:szCs w:val="24"/>
              </w:rPr>
              <w:t>设备调控</w:t>
            </w:r>
          </w:p>
        </w:tc>
      </w:tr>
      <w:tr w14:paraId="6B69476E">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993" w:type="dxa"/>
            <w:vAlign w:val="center"/>
          </w:tcPr>
          <w:p w14:paraId="5EAEAF4C">
            <w:pPr>
              <w:spacing w:line="560" w:lineRule="exact"/>
              <w:rPr>
                <w:rFonts w:hint="eastAsia"/>
                <w:b w:val="0"/>
                <w:bCs w:val="0"/>
                <w:sz w:val="24"/>
                <w:szCs w:val="24"/>
              </w:rPr>
            </w:pPr>
            <w:r>
              <w:rPr>
                <w:rFonts w:hint="eastAsia"/>
                <w:b w:val="0"/>
                <w:bCs w:val="0"/>
                <w:sz w:val="24"/>
                <w:szCs w:val="24"/>
              </w:rPr>
              <w:t>8</w:t>
            </w:r>
          </w:p>
        </w:tc>
        <w:tc>
          <w:tcPr>
            <w:tcW w:w="1275" w:type="dxa"/>
            <w:vAlign w:val="center"/>
          </w:tcPr>
          <w:p w14:paraId="6E87D6F7">
            <w:pPr>
              <w:spacing w:line="560" w:lineRule="exact"/>
              <w:rPr>
                <w:rFonts w:hint="eastAsia"/>
                <w:sz w:val="24"/>
                <w:szCs w:val="24"/>
              </w:rPr>
            </w:pPr>
            <w:r>
              <w:rPr>
                <w:rFonts w:hint="eastAsia"/>
                <w:sz w:val="24"/>
                <w:szCs w:val="24"/>
              </w:rPr>
              <w:t>张金莲</w:t>
            </w:r>
          </w:p>
        </w:tc>
        <w:tc>
          <w:tcPr>
            <w:tcW w:w="3828" w:type="dxa"/>
            <w:vAlign w:val="center"/>
          </w:tcPr>
          <w:p w14:paraId="6C4EB232">
            <w:pPr>
              <w:spacing w:line="560" w:lineRule="exact"/>
              <w:rPr>
                <w:rFonts w:hint="eastAsia"/>
                <w:sz w:val="24"/>
                <w:szCs w:val="24"/>
              </w:rPr>
            </w:pPr>
            <w:r>
              <w:rPr>
                <w:rFonts w:hint="eastAsia"/>
                <w:sz w:val="24"/>
                <w:szCs w:val="24"/>
              </w:rPr>
              <w:t>元然（苏州）新能源科技有限公司</w:t>
            </w:r>
          </w:p>
        </w:tc>
        <w:tc>
          <w:tcPr>
            <w:tcW w:w="2200" w:type="dxa"/>
            <w:vAlign w:val="center"/>
          </w:tcPr>
          <w:p w14:paraId="22171ABB">
            <w:pPr>
              <w:spacing w:line="560" w:lineRule="exact"/>
              <w:rPr>
                <w:rFonts w:hint="eastAsia"/>
                <w:sz w:val="24"/>
                <w:szCs w:val="24"/>
              </w:rPr>
            </w:pPr>
            <w:r>
              <w:rPr>
                <w:rFonts w:hint="eastAsia"/>
                <w:sz w:val="24"/>
                <w:szCs w:val="24"/>
              </w:rPr>
              <w:t>设备生产</w:t>
            </w:r>
          </w:p>
        </w:tc>
      </w:tr>
      <w:tr w14:paraId="30E502A4">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993" w:type="dxa"/>
            <w:tcBorders>
              <w:top w:val="single" w:color="7E7E7E" w:themeColor="text1" w:themeTint="80" w:sz="4" w:space="0"/>
              <w:bottom w:val="single" w:color="7E7E7E" w:themeColor="text1" w:themeTint="80" w:sz="4" w:space="0"/>
              <w:insideH w:val="single" w:sz="4" w:space="0"/>
            </w:tcBorders>
            <w:vAlign w:val="center"/>
          </w:tcPr>
          <w:p w14:paraId="795E0038">
            <w:pPr>
              <w:spacing w:line="560" w:lineRule="exact"/>
              <w:rPr>
                <w:rFonts w:hint="eastAsia"/>
                <w:b w:val="0"/>
                <w:bCs w:val="0"/>
                <w:sz w:val="24"/>
                <w:szCs w:val="24"/>
              </w:rPr>
            </w:pPr>
            <w:r>
              <w:rPr>
                <w:rFonts w:hint="eastAsia"/>
                <w:b w:val="0"/>
                <w:bCs w:val="0"/>
                <w:sz w:val="24"/>
                <w:szCs w:val="24"/>
              </w:rPr>
              <w:t>9</w:t>
            </w:r>
          </w:p>
        </w:tc>
        <w:tc>
          <w:tcPr>
            <w:tcW w:w="1275" w:type="dxa"/>
            <w:tcBorders>
              <w:top w:val="single" w:color="7E7E7E" w:themeColor="text1" w:themeTint="80" w:sz="4" w:space="0"/>
              <w:bottom w:val="single" w:color="7E7E7E" w:themeColor="text1" w:themeTint="80" w:sz="4" w:space="0"/>
              <w:insideH w:val="single" w:sz="4" w:space="0"/>
            </w:tcBorders>
            <w:vAlign w:val="center"/>
          </w:tcPr>
          <w:p w14:paraId="263B4F45">
            <w:pPr>
              <w:spacing w:line="560" w:lineRule="exact"/>
              <w:rPr>
                <w:rFonts w:hint="eastAsia"/>
                <w:sz w:val="24"/>
                <w:szCs w:val="24"/>
              </w:rPr>
            </w:pPr>
            <w:r>
              <w:rPr>
                <w:rFonts w:hint="eastAsia"/>
                <w:sz w:val="24"/>
                <w:szCs w:val="24"/>
              </w:rPr>
              <w:t>吴琼</w:t>
            </w:r>
          </w:p>
        </w:tc>
        <w:tc>
          <w:tcPr>
            <w:tcW w:w="3828" w:type="dxa"/>
            <w:tcBorders>
              <w:top w:val="single" w:color="7E7E7E" w:themeColor="text1" w:themeTint="80" w:sz="4" w:space="0"/>
              <w:bottom w:val="single" w:color="7E7E7E" w:themeColor="text1" w:themeTint="80" w:sz="4" w:space="0"/>
              <w:insideH w:val="single" w:sz="4" w:space="0"/>
            </w:tcBorders>
            <w:vAlign w:val="center"/>
          </w:tcPr>
          <w:p w14:paraId="4C5CC556">
            <w:pPr>
              <w:spacing w:line="560" w:lineRule="exact"/>
              <w:rPr>
                <w:rFonts w:hint="eastAsia"/>
                <w:sz w:val="24"/>
                <w:szCs w:val="24"/>
              </w:rPr>
            </w:pPr>
            <w:r>
              <w:rPr>
                <w:rFonts w:hint="eastAsia"/>
                <w:sz w:val="24"/>
                <w:szCs w:val="24"/>
              </w:rPr>
              <w:t>句容市郭庄镇南河农庄</w:t>
            </w:r>
          </w:p>
        </w:tc>
        <w:tc>
          <w:tcPr>
            <w:tcW w:w="2200" w:type="dxa"/>
            <w:tcBorders>
              <w:top w:val="single" w:color="7E7E7E" w:themeColor="text1" w:themeTint="80" w:sz="4" w:space="0"/>
              <w:bottom w:val="single" w:color="7E7E7E" w:themeColor="text1" w:themeTint="80" w:sz="4" w:space="0"/>
              <w:insideH w:val="single" w:sz="4" w:space="0"/>
            </w:tcBorders>
            <w:vAlign w:val="center"/>
          </w:tcPr>
          <w:p w14:paraId="1E0B41B8">
            <w:pPr>
              <w:spacing w:line="560" w:lineRule="exact"/>
              <w:rPr>
                <w:rFonts w:hint="eastAsia"/>
                <w:sz w:val="24"/>
                <w:szCs w:val="24"/>
              </w:rPr>
            </w:pPr>
            <w:r>
              <w:rPr>
                <w:rFonts w:hint="eastAsia"/>
                <w:sz w:val="24"/>
                <w:szCs w:val="24"/>
              </w:rPr>
              <w:t>相关试验实施</w:t>
            </w:r>
          </w:p>
        </w:tc>
      </w:tr>
      <w:tr w14:paraId="0E9D2221">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993" w:type="dxa"/>
            <w:vAlign w:val="center"/>
          </w:tcPr>
          <w:p w14:paraId="7ED844C0">
            <w:pPr>
              <w:spacing w:line="560" w:lineRule="exact"/>
              <w:rPr>
                <w:rFonts w:hint="eastAsia"/>
                <w:b w:val="0"/>
                <w:bCs w:val="0"/>
                <w:sz w:val="24"/>
                <w:szCs w:val="24"/>
              </w:rPr>
            </w:pPr>
            <w:r>
              <w:rPr>
                <w:rFonts w:hint="eastAsia"/>
                <w:b w:val="0"/>
                <w:bCs w:val="0"/>
                <w:sz w:val="24"/>
                <w:szCs w:val="24"/>
              </w:rPr>
              <w:t>10</w:t>
            </w:r>
          </w:p>
        </w:tc>
        <w:tc>
          <w:tcPr>
            <w:tcW w:w="1275" w:type="dxa"/>
            <w:vAlign w:val="center"/>
          </w:tcPr>
          <w:p w14:paraId="49D26E7D">
            <w:pPr>
              <w:spacing w:line="560" w:lineRule="exact"/>
              <w:rPr>
                <w:rFonts w:hint="eastAsia"/>
                <w:sz w:val="24"/>
                <w:szCs w:val="24"/>
              </w:rPr>
            </w:pPr>
            <w:r>
              <w:rPr>
                <w:rFonts w:hint="eastAsia"/>
                <w:sz w:val="24"/>
                <w:szCs w:val="24"/>
              </w:rPr>
              <w:t>刘远柱</w:t>
            </w:r>
          </w:p>
        </w:tc>
        <w:tc>
          <w:tcPr>
            <w:tcW w:w="3828" w:type="dxa"/>
            <w:vAlign w:val="center"/>
          </w:tcPr>
          <w:p w14:paraId="28E58B40">
            <w:pPr>
              <w:spacing w:line="560" w:lineRule="exact"/>
              <w:rPr>
                <w:rFonts w:hint="eastAsia"/>
                <w:sz w:val="24"/>
                <w:szCs w:val="24"/>
              </w:rPr>
            </w:pPr>
            <w:r>
              <w:rPr>
                <w:rFonts w:hint="eastAsia"/>
                <w:sz w:val="24"/>
                <w:szCs w:val="24"/>
              </w:rPr>
              <w:t>万国易景园清泉谷（南京）生态农业科技发展有限公司</w:t>
            </w:r>
          </w:p>
        </w:tc>
        <w:tc>
          <w:tcPr>
            <w:tcW w:w="2200" w:type="dxa"/>
            <w:vAlign w:val="center"/>
          </w:tcPr>
          <w:p w14:paraId="091BE7ED">
            <w:pPr>
              <w:spacing w:line="560" w:lineRule="exact"/>
              <w:rPr>
                <w:rFonts w:hint="eastAsia"/>
                <w:sz w:val="24"/>
                <w:szCs w:val="24"/>
              </w:rPr>
            </w:pPr>
            <w:r>
              <w:rPr>
                <w:rFonts w:hint="eastAsia"/>
                <w:sz w:val="24"/>
                <w:szCs w:val="24"/>
              </w:rPr>
              <w:t>相关试验实施</w:t>
            </w:r>
          </w:p>
        </w:tc>
      </w:tr>
    </w:tbl>
    <w:p w14:paraId="3AC08ADC">
      <w:pPr>
        <w:spacing w:line="560" w:lineRule="exact"/>
        <w:rPr>
          <w:b/>
          <w:bCs/>
          <w:sz w:val="24"/>
          <w:szCs w:val="28"/>
        </w:rPr>
      </w:pPr>
      <w:r>
        <w:rPr>
          <w:b/>
          <w:bCs/>
          <w:sz w:val="24"/>
          <w:szCs w:val="28"/>
        </w:rPr>
        <w:t xml:space="preserve">二、标准编制原则和确定标准主要内容的论据 </w:t>
      </w:r>
    </w:p>
    <w:p w14:paraId="189EE286">
      <w:pPr>
        <w:spacing w:line="560" w:lineRule="exact"/>
        <w:ind w:firstLine="480" w:firstLineChars="200"/>
        <w:rPr>
          <w:sz w:val="24"/>
          <w:szCs w:val="28"/>
        </w:rPr>
      </w:pPr>
      <w:r>
        <w:rPr>
          <w:rFonts w:hint="eastAsia"/>
          <w:sz w:val="24"/>
          <w:szCs w:val="28"/>
        </w:rPr>
        <w:t>2.1标准编制原则</w:t>
      </w:r>
    </w:p>
    <w:p w14:paraId="243492B2">
      <w:pPr>
        <w:spacing w:line="560" w:lineRule="exact"/>
        <w:ind w:firstLine="480" w:firstLineChars="200"/>
        <w:rPr>
          <w:sz w:val="24"/>
          <w:szCs w:val="28"/>
        </w:rPr>
      </w:pPr>
      <w:r>
        <w:rPr>
          <w:sz w:val="24"/>
          <w:szCs w:val="28"/>
        </w:rPr>
        <w:t>本标准的修订，在格式上按照GB/T 1.1-2020 《标准化工作导则 第1部分： 标准化文件的结构和起草规则》的要求。标准文本简要，能直接引用的标准尽量 引用，相关内容不再在本标准中出现。并遵循国家有关方针、政策、法规和规章； 参考相关国家标准、行业标准；进行广泛的调查研究和必要的试验验证工作，掌 握目前生产</w:t>
      </w:r>
      <w:r>
        <w:rPr>
          <w:rFonts w:hint="eastAsia"/>
          <w:sz w:val="24"/>
          <w:szCs w:val="28"/>
        </w:rPr>
        <w:t>运用</w:t>
      </w:r>
      <w:r>
        <w:rPr>
          <w:sz w:val="24"/>
          <w:szCs w:val="28"/>
        </w:rPr>
        <w:t>实际情况，对获得的资料和数据进行综合研究，使数据科学化，</w:t>
      </w:r>
      <w:r>
        <w:rPr>
          <w:rFonts w:hint="eastAsia"/>
          <w:sz w:val="24"/>
          <w:szCs w:val="28"/>
        </w:rPr>
        <w:t>标准化</w:t>
      </w:r>
      <w:r>
        <w:rPr>
          <w:sz w:val="24"/>
          <w:szCs w:val="28"/>
        </w:rPr>
        <w:t>、</w:t>
      </w:r>
      <w:r>
        <w:rPr>
          <w:rFonts w:hint="eastAsia"/>
          <w:sz w:val="24"/>
          <w:szCs w:val="28"/>
        </w:rPr>
        <w:t>数据化</w:t>
      </w:r>
      <w:r>
        <w:rPr>
          <w:sz w:val="24"/>
          <w:szCs w:val="28"/>
        </w:rPr>
        <w:t>。密切结合地方实际情况，标准的文字表达准确、简明、易懂，结构合理、层次分明、逻辑严谨。标准中的术语、符号统一，与相关标准相协调。</w:t>
      </w:r>
    </w:p>
    <w:p w14:paraId="562FD354">
      <w:pPr>
        <w:spacing w:line="560" w:lineRule="exact"/>
        <w:ind w:firstLine="480" w:firstLineChars="200"/>
        <w:rPr>
          <w:sz w:val="24"/>
          <w:szCs w:val="28"/>
        </w:rPr>
      </w:pPr>
      <w:r>
        <w:rPr>
          <w:rFonts w:hint="eastAsia"/>
          <w:sz w:val="24"/>
          <w:szCs w:val="28"/>
        </w:rPr>
        <w:t>2.2标准主要内容</w:t>
      </w:r>
    </w:p>
    <w:p w14:paraId="6EC55D8E">
      <w:pPr>
        <w:spacing w:line="560" w:lineRule="exact"/>
        <w:ind w:firstLine="480" w:firstLineChars="200"/>
        <w:rPr>
          <w:rFonts w:hint="eastAsia"/>
          <w:sz w:val="24"/>
          <w:szCs w:val="28"/>
        </w:rPr>
      </w:pPr>
      <w:r>
        <w:rPr>
          <w:rFonts w:hint="eastAsia"/>
          <w:sz w:val="24"/>
          <w:szCs w:val="28"/>
        </w:rPr>
        <w:t xml:space="preserve">本标准的核心内容是规定了设施水产养殖石墨烯电热膜控温技术的基础设施设备、设计安装、控温设置、运行管理及安全保障等方面技术操作规程。主要适用于冬春季节设施种养殖采暖保温生产。 </w:t>
      </w:r>
    </w:p>
    <w:p w14:paraId="30816EEF">
      <w:pPr>
        <w:spacing w:line="560" w:lineRule="exact"/>
        <w:ind w:firstLine="480" w:firstLineChars="200"/>
        <w:rPr>
          <w:sz w:val="24"/>
          <w:szCs w:val="28"/>
        </w:rPr>
      </w:pPr>
      <w:r>
        <w:rPr>
          <w:rFonts w:hint="eastAsia"/>
          <w:sz w:val="24"/>
          <w:szCs w:val="28"/>
        </w:rPr>
        <w:t>2.3标准主要内容的依据</w:t>
      </w:r>
    </w:p>
    <w:p w14:paraId="0DDC39A7">
      <w:pPr>
        <w:spacing w:line="560" w:lineRule="exact"/>
        <w:ind w:firstLine="480" w:firstLineChars="200"/>
        <w:rPr>
          <w:rFonts w:hint="eastAsia"/>
          <w:sz w:val="24"/>
          <w:szCs w:val="28"/>
        </w:rPr>
      </w:pPr>
      <w:r>
        <w:rPr>
          <w:rFonts w:hint="eastAsia"/>
          <w:sz w:val="24"/>
          <w:szCs w:val="28"/>
        </w:rPr>
        <w:t>根据对水产养殖温棚加热方式实际生产情况的调研并结合行业、养殖企业的需求，本文件核心内容主要规定了石墨烯电热膜的基础设备要求、加热膜设计安装要求、水产温棚石墨烯加热膜控温设置要求、水产生产过程石墨烯加热膜运行管理要求、安全保障要求。</w:t>
      </w:r>
    </w:p>
    <w:p w14:paraId="61C77874">
      <w:pPr>
        <w:spacing w:line="560" w:lineRule="exact"/>
        <w:rPr>
          <w:b/>
          <w:bCs/>
          <w:sz w:val="24"/>
          <w:szCs w:val="28"/>
        </w:rPr>
      </w:pPr>
      <w:r>
        <w:rPr>
          <w:b/>
          <w:bCs/>
          <w:sz w:val="24"/>
          <w:szCs w:val="28"/>
        </w:rPr>
        <w:t xml:space="preserve">三、主要试验（或验证）的分析、综述报告，技术经济论证，预期的经济效果 </w:t>
      </w:r>
    </w:p>
    <w:p w14:paraId="03CA7FDA">
      <w:pPr>
        <w:spacing w:line="560" w:lineRule="exact"/>
        <w:ind w:firstLine="480" w:firstLineChars="200"/>
        <w:rPr>
          <w:sz w:val="24"/>
          <w:szCs w:val="28"/>
        </w:rPr>
      </w:pPr>
      <w:r>
        <w:rPr>
          <w:rFonts w:hint="eastAsia"/>
          <w:sz w:val="24"/>
          <w:szCs w:val="28"/>
        </w:rPr>
        <w:t>3.1</w:t>
      </w:r>
      <w:r>
        <w:rPr>
          <w:sz w:val="24"/>
          <w:szCs w:val="28"/>
        </w:rPr>
        <w:t>主要试验（或验证）的分析、综述报告</w:t>
      </w:r>
    </w:p>
    <w:p w14:paraId="1470B6EF">
      <w:pPr>
        <w:spacing w:line="560" w:lineRule="exact"/>
        <w:ind w:firstLine="480" w:firstLineChars="200"/>
        <w:rPr>
          <w:sz w:val="24"/>
          <w:szCs w:val="28"/>
        </w:rPr>
      </w:pPr>
      <w:r>
        <w:rPr>
          <w:rFonts w:hint="eastAsia"/>
          <w:sz w:val="24"/>
          <w:szCs w:val="28"/>
        </w:rPr>
        <w:t>该标准制定通过组建石墨烯农业科技创新联合体、召开联合体课题申报会议、征集遴选石墨烯农业科技创新成果、组织讨论标准编写方案，组织石墨烯电热膜研发制备领域以及设施农业龙头企业专家讨论技术指标并多次修改，由江苏农林职业技术学院、江苏省石墨烯农业科技推广联盟共同起草《石墨烯电热膜设施水产养殖控温技术规程》。编写小组查阅相关技术资料、借鉴南京大学、东南大学、江南石墨烯研究院、江苏中农创石墨烯研究院、元然（苏州）新能源科技有限公司在石墨烯领域先进的研发经验和技术规范，结合设施水产养殖石墨烯控温产品在句容郭庄镇南河农庄水产养殖基地、南京清泉谷农业科技发展有限公司特种水产养殖基地等设施农业企业的冬春季节控温效果试验，吸收了设施种养殖环境调控技术先进成果，使本技术规程更具科学性、前瞻性和可操作性。</w:t>
      </w:r>
    </w:p>
    <w:p w14:paraId="583BE6EA">
      <w:pPr>
        <w:spacing w:line="560" w:lineRule="exact"/>
        <w:ind w:firstLine="480" w:firstLineChars="200"/>
        <w:rPr>
          <w:sz w:val="24"/>
          <w:szCs w:val="28"/>
        </w:rPr>
      </w:pPr>
      <w:r>
        <w:rPr>
          <w:rFonts w:hint="eastAsia"/>
          <w:sz w:val="24"/>
          <w:szCs w:val="28"/>
        </w:rPr>
        <w:t>3.2预期的经济效果</w:t>
      </w:r>
    </w:p>
    <w:p w14:paraId="0940C498">
      <w:pPr>
        <w:spacing w:line="560" w:lineRule="exact"/>
        <w:ind w:firstLine="480" w:firstLineChars="200"/>
        <w:rPr>
          <w:rFonts w:hint="eastAsia"/>
          <w:sz w:val="24"/>
          <w:szCs w:val="28"/>
        </w:rPr>
      </w:pPr>
      <w:r>
        <w:rPr>
          <w:rFonts w:hint="eastAsia"/>
          <w:sz w:val="24"/>
          <w:szCs w:val="28"/>
        </w:rPr>
        <w:t>相较于目前市场上常用的空气能热泵、水源热泵（单价10000万元左右/台），成本降低了80%左右，且安装方便；另据多年的试验结果表明，设施种养殖石墨烯控温产品在加热速率和能效方面与传统热风/热水加热等方式相比均有较大的提升，可大幅度降低加热能耗30%-50%。</w:t>
      </w:r>
      <w:r>
        <w:rPr>
          <w:rFonts w:hint="eastAsia" w:asciiTheme="minorEastAsia" w:hAnsiTheme="minorEastAsia" w:cstheme="minorEastAsia"/>
          <w:sz w:val="24"/>
        </w:rPr>
        <w:t>如果按节约加温费用500-1000元/亩/年，仅江苏省水产养殖每年可节省加温费用60亿-120亿元，并可降低鱼的发病率，提升鱼肉品质，从而大幅提高经济效益。</w:t>
      </w:r>
    </w:p>
    <w:p w14:paraId="088E9786">
      <w:pPr>
        <w:spacing w:line="560" w:lineRule="exact"/>
        <w:rPr>
          <w:b/>
          <w:bCs/>
          <w:sz w:val="24"/>
          <w:szCs w:val="28"/>
        </w:rPr>
      </w:pPr>
      <w:r>
        <w:rPr>
          <w:b/>
          <w:bCs/>
          <w:sz w:val="24"/>
          <w:szCs w:val="28"/>
        </w:rPr>
        <w:t xml:space="preserve">四、采用国际标准和国外先进标准的程度，以及与国际、国 外同类标准水平的对接情况 </w:t>
      </w:r>
    </w:p>
    <w:p w14:paraId="4F255D2D">
      <w:pPr>
        <w:spacing w:line="560" w:lineRule="exact"/>
        <w:ind w:firstLine="480" w:firstLineChars="200"/>
        <w:rPr>
          <w:sz w:val="24"/>
          <w:szCs w:val="28"/>
        </w:rPr>
      </w:pPr>
      <w:r>
        <w:rPr>
          <w:sz w:val="24"/>
          <w:szCs w:val="28"/>
        </w:rPr>
        <w:t>本标准未采用国际标准或国外相关标准。</w:t>
      </w:r>
    </w:p>
    <w:p w14:paraId="7B51793C">
      <w:pPr>
        <w:spacing w:line="560" w:lineRule="exact"/>
        <w:rPr>
          <w:b/>
          <w:bCs/>
          <w:sz w:val="24"/>
          <w:szCs w:val="28"/>
        </w:rPr>
      </w:pPr>
      <w:r>
        <w:rPr>
          <w:b/>
          <w:bCs/>
          <w:sz w:val="24"/>
          <w:szCs w:val="28"/>
        </w:rPr>
        <w:t xml:space="preserve">五、与有关的现行法律、法规和强制性标准的关系 </w:t>
      </w:r>
    </w:p>
    <w:p w14:paraId="3A05C5B0">
      <w:pPr>
        <w:spacing w:line="560" w:lineRule="exact"/>
        <w:ind w:firstLine="480" w:firstLineChars="200"/>
        <w:rPr>
          <w:rFonts w:hint="eastAsia"/>
          <w:sz w:val="24"/>
          <w:szCs w:val="28"/>
        </w:rPr>
      </w:pPr>
      <w:r>
        <w:rPr>
          <w:sz w:val="24"/>
          <w:szCs w:val="28"/>
        </w:rPr>
        <w:t>本标准符合现行法律、法规和强制性国家标准的要求。</w:t>
      </w:r>
    </w:p>
    <w:p w14:paraId="7284815A">
      <w:pPr>
        <w:spacing w:line="560" w:lineRule="exact"/>
        <w:rPr>
          <w:b/>
          <w:bCs/>
          <w:sz w:val="24"/>
          <w:szCs w:val="28"/>
        </w:rPr>
      </w:pPr>
      <w:r>
        <w:rPr>
          <w:b/>
          <w:bCs/>
          <w:sz w:val="24"/>
          <w:szCs w:val="28"/>
        </w:rPr>
        <w:t xml:space="preserve">六、重大分歧意见的处理经过和依据 </w:t>
      </w:r>
    </w:p>
    <w:p w14:paraId="6BF7FB1D">
      <w:pPr>
        <w:spacing w:line="560" w:lineRule="exact"/>
        <w:ind w:firstLine="480" w:firstLineChars="200"/>
        <w:rPr>
          <w:sz w:val="24"/>
          <w:szCs w:val="28"/>
        </w:rPr>
      </w:pPr>
      <w:r>
        <w:rPr>
          <w:sz w:val="24"/>
          <w:szCs w:val="28"/>
        </w:rPr>
        <w:t>无重大分歧意见。</w:t>
      </w:r>
    </w:p>
    <w:p w14:paraId="3CFD1BCE">
      <w:pPr>
        <w:spacing w:line="560" w:lineRule="exact"/>
        <w:rPr>
          <w:b/>
          <w:bCs/>
          <w:sz w:val="24"/>
          <w:szCs w:val="28"/>
        </w:rPr>
      </w:pPr>
      <w:r>
        <w:rPr>
          <w:b/>
          <w:bCs/>
          <w:sz w:val="24"/>
          <w:szCs w:val="28"/>
        </w:rPr>
        <w:t>七、标准作为强制性标准或推荐性标准的建议</w:t>
      </w:r>
    </w:p>
    <w:p w14:paraId="5DECE4C4">
      <w:pPr>
        <w:spacing w:line="560" w:lineRule="exact"/>
        <w:ind w:firstLine="480" w:firstLineChars="200"/>
        <w:rPr>
          <w:sz w:val="24"/>
          <w:szCs w:val="28"/>
        </w:rPr>
      </w:pPr>
      <w:r>
        <w:rPr>
          <w:rFonts w:hint="eastAsia"/>
          <w:sz w:val="24"/>
          <w:szCs w:val="28"/>
        </w:rPr>
        <w:t>本标准为加热设备高效运行操作标准，建议为</w:t>
      </w:r>
      <w:r>
        <w:rPr>
          <w:sz w:val="24"/>
          <w:szCs w:val="28"/>
        </w:rPr>
        <w:t>推荐性标准</w:t>
      </w:r>
    </w:p>
    <w:p w14:paraId="004A6CD9">
      <w:pPr>
        <w:spacing w:line="560" w:lineRule="exact"/>
        <w:rPr>
          <w:b/>
          <w:bCs/>
          <w:sz w:val="24"/>
          <w:szCs w:val="28"/>
        </w:rPr>
      </w:pPr>
      <w:r>
        <w:rPr>
          <w:b/>
          <w:bCs/>
          <w:sz w:val="24"/>
          <w:szCs w:val="28"/>
        </w:rPr>
        <w:t xml:space="preserve">八、贯彻标准的要求和措施建议 </w:t>
      </w:r>
    </w:p>
    <w:p w14:paraId="2E91E7CB">
      <w:pPr>
        <w:spacing w:line="560" w:lineRule="exact"/>
        <w:ind w:firstLine="480" w:firstLineChars="200"/>
        <w:rPr>
          <w:rFonts w:hint="eastAsia"/>
          <w:sz w:val="24"/>
          <w:szCs w:val="28"/>
        </w:rPr>
      </w:pPr>
      <w:r>
        <w:rPr>
          <w:sz w:val="24"/>
          <w:szCs w:val="28"/>
        </w:rPr>
        <w:t>标准</w:t>
      </w:r>
      <w:r>
        <w:rPr>
          <w:rFonts w:hint="eastAsia"/>
          <w:sz w:val="24"/>
          <w:szCs w:val="28"/>
        </w:rPr>
        <w:t>起草</w:t>
      </w:r>
      <w:r>
        <w:rPr>
          <w:sz w:val="24"/>
          <w:szCs w:val="28"/>
        </w:rPr>
        <w:t>实施</w:t>
      </w:r>
      <w:r>
        <w:rPr>
          <w:rFonts w:hint="eastAsia"/>
          <w:sz w:val="24"/>
          <w:szCs w:val="28"/>
        </w:rPr>
        <w:t>后，建议由江苏省渔业</w:t>
      </w:r>
      <w:r>
        <w:rPr>
          <w:sz w:val="24"/>
          <w:szCs w:val="28"/>
        </w:rPr>
        <w:t>协会</w:t>
      </w:r>
      <w:r>
        <w:rPr>
          <w:rFonts w:hint="eastAsia"/>
          <w:sz w:val="24"/>
          <w:szCs w:val="28"/>
        </w:rPr>
        <w:t>引导</w:t>
      </w:r>
      <w:r>
        <w:rPr>
          <w:sz w:val="24"/>
          <w:szCs w:val="28"/>
        </w:rPr>
        <w:t>，以养殖生产单位为主要</w:t>
      </w:r>
      <w:r>
        <w:rPr>
          <w:rFonts w:hint="eastAsia"/>
          <w:sz w:val="24"/>
          <w:szCs w:val="28"/>
        </w:rPr>
        <w:t>实施</w:t>
      </w:r>
      <w:r>
        <w:rPr>
          <w:sz w:val="24"/>
          <w:szCs w:val="28"/>
        </w:rPr>
        <w:t>对象，合理规范利用标准。</w:t>
      </w:r>
    </w:p>
    <w:p w14:paraId="2EE1CDDE">
      <w:pPr>
        <w:spacing w:line="560" w:lineRule="exact"/>
        <w:rPr>
          <w:b/>
          <w:bCs/>
          <w:sz w:val="24"/>
          <w:szCs w:val="28"/>
        </w:rPr>
      </w:pPr>
      <w:r>
        <w:rPr>
          <w:rFonts w:hint="eastAsia"/>
          <w:b/>
          <w:bCs/>
          <w:sz w:val="24"/>
          <w:szCs w:val="28"/>
        </w:rPr>
        <w:t>九</w:t>
      </w:r>
      <w:r>
        <w:rPr>
          <w:b/>
          <w:bCs/>
          <w:sz w:val="24"/>
          <w:szCs w:val="28"/>
        </w:rPr>
        <w:t>、其他应予说明的事项</w:t>
      </w:r>
    </w:p>
    <w:p w14:paraId="250C3959">
      <w:pPr>
        <w:spacing w:line="560" w:lineRule="exact"/>
        <w:ind w:firstLine="480" w:firstLineChars="200"/>
        <w:rPr>
          <w:sz w:val="24"/>
          <w:szCs w:val="28"/>
        </w:rPr>
      </w:pPr>
      <w:r>
        <w:rPr>
          <w:rFonts w:hint="eastAsia"/>
          <w:sz w:val="24"/>
          <w:szCs w:val="28"/>
        </w:rPr>
        <w:t>无</w:t>
      </w:r>
    </w:p>
    <w:p w14:paraId="4238BA48">
      <w:pPr>
        <w:spacing w:line="560" w:lineRule="exact"/>
        <w:ind w:firstLine="480" w:firstLineChars="200"/>
        <w:rPr>
          <w:sz w:val="24"/>
          <w:szCs w:val="28"/>
        </w:rPr>
      </w:pPr>
    </w:p>
    <w:p w14:paraId="1802E9E7">
      <w:pPr>
        <w:spacing w:line="560" w:lineRule="exact"/>
        <w:ind w:firstLine="480" w:firstLineChars="200"/>
        <w:rPr>
          <w:sz w:val="24"/>
          <w:szCs w:val="28"/>
        </w:rPr>
      </w:pPr>
    </w:p>
    <w:p w14:paraId="58F68E7B">
      <w:pPr>
        <w:spacing w:line="560" w:lineRule="exact"/>
        <w:ind w:firstLine="480" w:firstLineChars="200"/>
        <w:rPr>
          <w:sz w:val="24"/>
          <w:szCs w:val="28"/>
        </w:rPr>
      </w:pPr>
    </w:p>
    <w:p w14:paraId="710059A7">
      <w:pPr>
        <w:spacing w:line="560" w:lineRule="exact"/>
        <w:ind w:firstLine="1920" w:firstLineChars="800"/>
        <w:rPr>
          <w:sz w:val="24"/>
          <w:szCs w:val="24"/>
        </w:rPr>
      </w:pPr>
      <w:r>
        <w:rPr>
          <w:rFonts w:hint="eastAsia"/>
          <w:sz w:val="24"/>
          <w:szCs w:val="24"/>
        </w:rPr>
        <w:t>《石墨烯电热膜设施水产养殖控温技术规程》标准起草小组</w:t>
      </w:r>
    </w:p>
    <w:p w14:paraId="57D7EA5A">
      <w:pPr>
        <w:spacing w:line="560" w:lineRule="exact"/>
        <w:ind w:firstLine="1920" w:firstLineChars="800"/>
        <w:jc w:val="center"/>
        <w:rPr>
          <w:rFonts w:hint="eastAsia"/>
          <w:sz w:val="24"/>
          <w:szCs w:val="28"/>
        </w:rPr>
      </w:pPr>
      <w:r>
        <w:rPr>
          <w:rFonts w:hint="eastAsia"/>
          <w:sz w:val="24"/>
          <w:szCs w:val="24"/>
        </w:rPr>
        <w:t>2024年7月</w:t>
      </w:r>
    </w:p>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A13"/>
    <w:rsid w:val="0013037A"/>
    <w:rsid w:val="00140D4C"/>
    <w:rsid w:val="001B56B4"/>
    <w:rsid w:val="00202DA2"/>
    <w:rsid w:val="002043BA"/>
    <w:rsid w:val="003945EB"/>
    <w:rsid w:val="003A706E"/>
    <w:rsid w:val="003C60E4"/>
    <w:rsid w:val="003F26F0"/>
    <w:rsid w:val="004F2863"/>
    <w:rsid w:val="005C0A68"/>
    <w:rsid w:val="00690004"/>
    <w:rsid w:val="006A1E35"/>
    <w:rsid w:val="0074050D"/>
    <w:rsid w:val="007E07E3"/>
    <w:rsid w:val="007F0B29"/>
    <w:rsid w:val="008177CF"/>
    <w:rsid w:val="009254F7"/>
    <w:rsid w:val="009255ED"/>
    <w:rsid w:val="00993D8E"/>
    <w:rsid w:val="009C1397"/>
    <w:rsid w:val="00A34A13"/>
    <w:rsid w:val="00B710C2"/>
    <w:rsid w:val="00B854C1"/>
    <w:rsid w:val="00C1776C"/>
    <w:rsid w:val="00C33ACD"/>
    <w:rsid w:val="00DA0D7C"/>
    <w:rsid w:val="33E9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table" w:customStyle="1" w:styleId="9">
    <w:name w:val="Plain Table 2"/>
    <w:basedOn w:val="4"/>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644A8-17C4-4E7A-B938-7E3371F3D212}">
  <ds:schemaRefs/>
</ds:datastoreItem>
</file>

<file path=docProps/app.xml><?xml version="1.0" encoding="utf-8"?>
<Properties xmlns="http://schemas.openxmlformats.org/officeDocument/2006/extended-properties" xmlns:vt="http://schemas.openxmlformats.org/officeDocument/2006/docPropsVTypes">
  <Template>Normal</Template>
  <Pages>6</Pages>
  <Words>1707</Words>
  <Characters>1775</Characters>
  <Lines>21</Lines>
  <Paragraphs>6</Paragraphs>
  <TotalTime>151</TotalTime>
  <ScaleCrop>false</ScaleCrop>
  <LinksUpToDate>false</LinksUpToDate>
  <CharactersWithSpaces>1792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2025-01-06T07:13:00Z</dcterms:created>
  <dc:creator>kun zhang</dc:creator>
  <cp:lastModifiedBy>zouyong</cp:lastModifiedBy>
  <dcterms:modified xsi:type="dcterms:W3CDTF">2025-01-22T08:18:44Z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eyJoZGlkIjoiYmQzNGQ3MzJkZTU1MGIzZjFjYjNkMmEwMjE3YjE3NWMiLCJ1c2VySWQiOiI1NjMzNDg4NzgifQ==</vt:lpwstr>
  </property>
  <property fmtid="{D5CDD505-2E9C-101B-9397-08002B2CF9AE}" pid="3" name="KSOProductBuildVer">
    <vt:lpwstr>2052-12.1.0.19770</vt:lpwstr>
  </property>
  <property fmtid="{D5CDD505-2E9C-101B-9397-08002B2CF9AE}" pid="4" name="ICV">
    <vt:lpwstr>775B06E7690E44E9A7126AA386912E40_12</vt:lpwstr>
  </property>
</Properties>
</file>