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A89316">
      <w:pPr>
        <w:spacing w:before="62" w:after="62"/>
        <w:rPr>
          <w:rFonts w:ascii="Times New Roman" w:hAnsi="Times New Roman"/>
        </w:rPr>
      </w:pPr>
      <w:bookmarkStart w:id="0" w:name="_Hlk169699259"/>
      <w:bookmarkEnd w:id="0"/>
    </w:p>
    <w:p w14:paraId="791F918C">
      <w:pPr>
        <w:spacing w:before="62" w:after="62"/>
        <w:rPr>
          <w:rFonts w:ascii="Times New Roman" w:hAnsi="Times New Roman"/>
        </w:rPr>
      </w:pPr>
    </w:p>
    <w:p w14:paraId="4B1FB0E7">
      <w:pPr>
        <w:spacing w:before="62" w:after="62" w:line="480" w:lineRule="auto"/>
        <w:ind w:firstLine="0" w:firstLineChars="0"/>
        <w:rPr>
          <w:rFonts w:ascii="Times New Roman" w:hAnsi="Times New Roman" w:eastAsia="黑体"/>
          <w:sz w:val="48"/>
          <w:szCs w:val="48"/>
        </w:rPr>
      </w:pPr>
      <w:r>
        <w:rPr>
          <w:rFonts w:hint="eastAsia" w:ascii="Times New Roman" w:hAnsi="Times New Roman" w:eastAsia="黑体"/>
          <w:sz w:val="48"/>
          <w:szCs w:val="48"/>
        </w:rPr>
        <w:t>渔业养殖尾水“微生物+生态处理”技术规范</w:t>
      </w:r>
    </w:p>
    <w:p w14:paraId="19D2704D">
      <w:pPr>
        <w:spacing w:before="62" w:after="62" w:line="480" w:lineRule="auto"/>
        <w:ind w:firstLine="0" w:firstLineChars="0"/>
        <w:jc w:val="center"/>
        <w:rPr>
          <w:rFonts w:hint="eastAsia" w:ascii="Times New Roman" w:hAnsi="Times New Roman" w:eastAsia="黑体"/>
          <w:sz w:val="48"/>
          <w:szCs w:val="48"/>
        </w:rPr>
      </w:pPr>
      <w:r>
        <w:rPr>
          <w:rFonts w:hint="eastAsia" w:ascii="Times New Roman" w:hAnsi="Times New Roman" w:eastAsia="黑体"/>
          <w:sz w:val="48"/>
          <w:szCs w:val="48"/>
        </w:rPr>
        <w:t>编制说明</w:t>
      </w:r>
    </w:p>
    <w:p w14:paraId="7B587B43">
      <w:pPr>
        <w:spacing w:before="62" w:after="62" w:line="480" w:lineRule="auto"/>
        <w:ind w:firstLine="0" w:firstLineChars="0"/>
        <w:jc w:val="center"/>
        <w:rPr>
          <w:rFonts w:hint="eastAsia" w:ascii="Times New Roman" w:hAnsi="Times New Roman" w:eastAsia="黑体"/>
          <w:sz w:val="48"/>
          <w:szCs w:val="48"/>
        </w:rPr>
      </w:pPr>
      <w:bookmarkStart w:id="86" w:name="_GoBack"/>
      <w:bookmarkEnd w:id="86"/>
    </w:p>
    <w:p w14:paraId="392B0068">
      <w:pPr>
        <w:spacing w:before="62" w:after="62" w:line="480" w:lineRule="auto"/>
        <w:ind w:firstLine="0" w:firstLineChars="0"/>
        <w:jc w:val="center"/>
        <w:rPr>
          <w:rFonts w:ascii="Times New Roman" w:hAnsi="Times New Roman" w:eastAsia="黑体"/>
          <w:sz w:val="48"/>
          <w:szCs w:val="48"/>
        </w:rPr>
      </w:pPr>
      <w:r>
        <w:rPr>
          <w:rFonts w:hint="eastAsia" w:ascii="Times New Roman" w:hAnsi="Times New Roman" w:eastAsia="黑体"/>
          <w:sz w:val="48"/>
          <w:szCs w:val="48"/>
        </w:rPr>
        <w:t>（征求意见稿）</w:t>
      </w:r>
    </w:p>
    <w:p w14:paraId="41BB65BB">
      <w:pPr>
        <w:spacing w:before="62" w:after="62"/>
        <w:rPr>
          <w:rFonts w:ascii="Times New Roman" w:hAnsi="Times New Roman"/>
        </w:rPr>
      </w:pPr>
    </w:p>
    <w:p w14:paraId="4D3A8981">
      <w:pPr>
        <w:spacing w:before="62" w:after="62"/>
        <w:rPr>
          <w:rFonts w:ascii="Times New Roman" w:hAnsi="Times New Roman"/>
        </w:rPr>
      </w:pPr>
    </w:p>
    <w:p w14:paraId="59B9FA25">
      <w:pPr>
        <w:spacing w:before="62" w:after="62"/>
        <w:rPr>
          <w:rFonts w:ascii="Times New Roman" w:hAnsi="Times New Roman"/>
        </w:rPr>
      </w:pPr>
    </w:p>
    <w:p w14:paraId="4EBE46F1">
      <w:pPr>
        <w:spacing w:before="62" w:after="62"/>
        <w:rPr>
          <w:rFonts w:ascii="Times New Roman" w:hAnsi="Times New Roman"/>
        </w:rPr>
      </w:pPr>
    </w:p>
    <w:p w14:paraId="74B45BCC">
      <w:pPr>
        <w:spacing w:before="62" w:after="62"/>
        <w:rPr>
          <w:rFonts w:ascii="Times New Roman" w:hAnsi="Times New Roman"/>
        </w:rPr>
      </w:pPr>
    </w:p>
    <w:p w14:paraId="46328F8E">
      <w:pPr>
        <w:spacing w:before="62" w:after="62"/>
        <w:rPr>
          <w:rFonts w:ascii="Times New Roman" w:hAnsi="Times New Roman"/>
        </w:rPr>
      </w:pPr>
    </w:p>
    <w:p w14:paraId="1CBA0A89">
      <w:pPr>
        <w:spacing w:before="62" w:after="62"/>
        <w:rPr>
          <w:rFonts w:ascii="Times New Roman" w:hAnsi="Times New Roman"/>
        </w:rPr>
      </w:pPr>
    </w:p>
    <w:p w14:paraId="2832FC58">
      <w:pPr>
        <w:spacing w:before="62" w:after="62"/>
        <w:rPr>
          <w:rFonts w:ascii="Times New Roman" w:hAnsi="Times New Roman"/>
        </w:rPr>
      </w:pPr>
    </w:p>
    <w:p w14:paraId="470775E3">
      <w:pPr>
        <w:spacing w:before="62" w:after="62"/>
        <w:rPr>
          <w:rFonts w:ascii="Times New Roman" w:hAnsi="Times New Roman"/>
        </w:rPr>
      </w:pPr>
    </w:p>
    <w:p w14:paraId="04426EF8">
      <w:pPr>
        <w:spacing w:before="62" w:after="62"/>
        <w:rPr>
          <w:rFonts w:ascii="Times New Roman" w:hAnsi="Times New Roman"/>
        </w:rPr>
      </w:pPr>
    </w:p>
    <w:p w14:paraId="03A7C9FC">
      <w:pPr>
        <w:tabs>
          <w:tab w:val="left" w:pos="6990"/>
        </w:tabs>
        <w:spacing w:before="62" w:after="62"/>
        <w:rPr>
          <w:rFonts w:ascii="Times New Roman" w:hAnsi="Times New Roman"/>
        </w:rPr>
      </w:pPr>
      <w:r>
        <w:rPr>
          <w:rFonts w:ascii="Times New Roman" w:hAnsi="Times New Roman"/>
        </w:rPr>
        <w:tab/>
      </w:r>
    </w:p>
    <w:p w14:paraId="56FC6A43">
      <w:pPr>
        <w:spacing w:before="62" w:after="62"/>
        <w:rPr>
          <w:rFonts w:ascii="Times New Roman" w:hAnsi="Times New Roman"/>
        </w:rPr>
      </w:pPr>
    </w:p>
    <w:p w14:paraId="2C858281">
      <w:pPr>
        <w:spacing w:before="62" w:after="62"/>
        <w:rPr>
          <w:rFonts w:ascii="Times New Roman" w:hAnsi="Times New Roman"/>
        </w:rPr>
      </w:pPr>
    </w:p>
    <w:p w14:paraId="18EC5380">
      <w:pPr>
        <w:spacing w:before="62" w:after="62"/>
        <w:ind w:firstLine="0" w:firstLineChars="0"/>
        <w:jc w:val="center"/>
        <w:rPr>
          <w:rFonts w:ascii="Times New Roman" w:hAnsi="Times New Roman" w:eastAsia="黑体"/>
          <w:sz w:val="28"/>
          <w:szCs w:val="28"/>
        </w:rPr>
      </w:pPr>
      <w:r>
        <w:rPr>
          <w:rFonts w:ascii="Times New Roman" w:hAnsi="Times New Roman" w:eastAsia="黑体"/>
          <w:sz w:val="28"/>
          <w:szCs w:val="28"/>
        </w:rPr>
        <w:t>《</w:t>
      </w:r>
      <w:bookmarkStart w:id="1" w:name="_Hlk133573269"/>
      <w:r>
        <w:rPr>
          <w:rFonts w:hint="eastAsia" w:ascii="Times New Roman" w:hAnsi="Times New Roman" w:eastAsia="黑体"/>
          <w:sz w:val="28"/>
          <w:szCs w:val="28"/>
        </w:rPr>
        <w:t>渔业养殖尾水“微生物+生态处理”技术规范</w:t>
      </w:r>
      <w:bookmarkEnd w:id="1"/>
      <w:r>
        <w:rPr>
          <w:rFonts w:ascii="Times New Roman" w:hAnsi="Times New Roman" w:eastAsia="黑体"/>
          <w:sz w:val="28"/>
          <w:szCs w:val="28"/>
        </w:rPr>
        <w:t>》编制组</w:t>
      </w:r>
    </w:p>
    <w:p w14:paraId="3D4C17AA">
      <w:pPr>
        <w:ind w:firstLine="0" w:firstLineChars="0"/>
        <w:jc w:val="center"/>
        <w:rPr>
          <w:rFonts w:ascii="Times New Roman" w:hAnsi="Times New Roman" w:eastAsia="黑体"/>
          <w:sz w:val="28"/>
          <w:szCs w:val="28"/>
        </w:rPr>
      </w:pPr>
      <w:r>
        <w:rPr>
          <w:rFonts w:ascii="Times New Roman" w:hAnsi="Times New Roman" w:eastAsia="黑体"/>
          <w:sz w:val="28"/>
          <w:szCs w:val="28"/>
        </w:rPr>
        <w:t>202</w:t>
      </w:r>
      <w:r>
        <w:rPr>
          <w:rFonts w:hint="eastAsia" w:ascii="Times New Roman" w:hAnsi="Times New Roman" w:eastAsia="黑体"/>
          <w:sz w:val="28"/>
          <w:szCs w:val="28"/>
        </w:rPr>
        <w:t>4</w:t>
      </w:r>
      <w:r>
        <w:rPr>
          <w:rFonts w:ascii="Times New Roman" w:hAnsi="Times New Roman" w:eastAsia="黑体"/>
          <w:sz w:val="28"/>
          <w:szCs w:val="28"/>
        </w:rPr>
        <w:t>年</w:t>
      </w:r>
      <w:r>
        <w:rPr>
          <w:rFonts w:hint="eastAsia" w:ascii="Times New Roman" w:hAnsi="Times New Roman" w:eastAsia="黑体"/>
          <w:sz w:val="28"/>
          <w:szCs w:val="28"/>
        </w:rPr>
        <w:t>12</w:t>
      </w:r>
      <w:r>
        <w:rPr>
          <w:rFonts w:ascii="Times New Roman" w:hAnsi="Times New Roman" w:eastAsia="黑体"/>
          <w:sz w:val="28"/>
          <w:szCs w:val="28"/>
        </w:rPr>
        <w:t>月</w:t>
      </w:r>
    </w:p>
    <w:p w14:paraId="2A97BF36">
      <w:pPr>
        <w:pStyle w:val="16"/>
        <w:ind w:firstLine="420"/>
        <w:jc w:val="center"/>
        <w:rPr>
          <w:rFonts w:ascii="Times New Roman" w:hAnsi="Times New Roman" w:eastAsia="宋体" w:cs="Times New Roman"/>
          <w:color w:val="auto"/>
          <w:kern w:val="2"/>
          <w:sz w:val="21"/>
          <w:szCs w:val="22"/>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134" w:right="1134" w:bottom="1134" w:left="1417" w:header="851" w:footer="992" w:gutter="0"/>
          <w:cols w:space="425" w:num="1"/>
          <w:docGrid w:type="lines" w:linePitch="312" w:charSpace="0"/>
        </w:sectPr>
      </w:pPr>
    </w:p>
    <w:sdt>
      <w:sdtPr>
        <w:rPr>
          <w:rFonts w:ascii="宋体" w:hAnsi="宋体" w:eastAsia="宋体" w:cs="宋体"/>
          <w:color w:val="auto"/>
          <w:sz w:val="24"/>
          <w:szCs w:val="24"/>
          <w:lang w:val="zh-CN"/>
        </w:rPr>
        <w:id w:val="-1550223922"/>
        <w:docPartObj>
          <w:docPartGallery w:val="Table of Contents"/>
          <w:docPartUnique/>
        </w:docPartObj>
      </w:sdtPr>
      <w:sdtEndPr>
        <w:rPr>
          <w:rFonts w:ascii="宋体" w:hAnsi="宋体" w:eastAsia="宋体" w:cs="宋体"/>
          <w:b/>
          <w:bCs/>
          <w:color w:val="auto"/>
          <w:sz w:val="24"/>
          <w:szCs w:val="24"/>
          <w:lang w:val="zh-CN"/>
        </w:rPr>
      </w:sdtEndPr>
      <w:sdtContent>
        <w:p w14:paraId="1B973DBC">
          <w:pPr>
            <w:pStyle w:val="31"/>
            <w:jc w:val="center"/>
            <w:rPr>
              <w:rFonts w:ascii="Times New Roman" w:hAnsi="Times New Roman" w:eastAsia="宋体" w:cs="Times New Roman"/>
              <w:color w:val="auto"/>
            </w:rPr>
          </w:pPr>
          <w:r>
            <w:rPr>
              <w:rFonts w:ascii="Times New Roman" w:hAnsi="Times New Roman" w:eastAsia="宋体" w:cs="Times New Roman"/>
              <w:color w:val="auto"/>
              <w:lang w:val="zh-CN"/>
            </w:rPr>
            <w:t>目录</w:t>
          </w:r>
        </w:p>
        <w:p w14:paraId="302023EF">
          <w:pPr>
            <w:pStyle w:val="7"/>
            <w:tabs>
              <w:tab w:val="right" w:leader="dot" w:pos="9345"/>
            </w:tabs>
            <w:ind w:firstLine="440"/>
            <w:rPr>
              <w:rFonts w:cstheme="minorBidi"/>
              <w:kern w:val="2"/>
              <w14:ligatures w14:val="standardContextual"/>
            </w:rPr>
          </w:pPr>
          <w:r>
            <w:rPr>
              <w:rFonts w:ascii="Times New Roman" w:hAnsi="Times New Roman" w:eastAsia="宋体" w:cs="Times New Roman"/>
            </w:rPr>
            <w:fldChar w:fldCharType="begin"/>
          </w:r>
          <w:r>
            <w:rPr>
              <w:rFonts w:ascii="Times New Roman" w:hAnsi="Times New Roman" w:eastAsia="宋体" w:cs="Times New Roman"/>
            </w:rPr>
            <w:instrText xml:space="preserve"> TOC \o "1-3" \h \z \u </w:instrText>
          </w:r>
          <w:r>
            <w:rPr>
              <w:rFonts w:ascii="Times New Roman" w:hAnsi="Times New Roman" w:eastAsia="宋体" w:cs="Times New Roman"/>
            </w:rPr>
            <w:fldChar w:fldCharType="separate"/>
          </w:r>
          <w:r>
            <w:fldChar w:fldCharType="begin"/>
          </w:r>
          <w:r>
            <w:instrText xml:space="preserve"> HYPERLINK \l "_Toc186557540" </w:instrText>
          </w:r>
          <w:r>
            <w:fldChar w:fldCharType="separate"/>
          </w:r>
          <w:r>
            <w:rPr>
              <w:rStyle w:val="12"/>
              <w:rFonts w:hint="eastAsia" w:ascii="Times New Roman" w:hAnsi="Times New Roman" w:eastAsia="黑体"/>
            </w:rPr>
            <w:t>1 项目背景</w:t>
          </w:r>
          <w:r>
            <w:rPr>
              <w:rFonts w:hint="eastAsia"/>
            </w:rPr>
            <w:tab/>
          </w:r>
          <w:r>
            <w:rPr>
              <w:rFonts w:hint="eastAsia"/>
            </w:rPr>
            <w:fldChar w:fldCharType="begin"/>
          </w:r>
          <w:r>
            <w:rPr>
              <w:rFonts w:hint="eastAsia"/>
            </w:rPr>
            <w:instrText xml:space="preserve"> </w:instrText>
          </w:r>
          <w:r>
            <w:instrText xml:space="preserve">PAGEREF _Toc186557540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14:paraId="5C0F450A">
          <w:pPr>
            <w:pStyle w:val="8"/>
            <w:tabs>
              <w:tab w:val="right" w:leader="dot" w:pos="9345"/>
            </w:tabs>
            <w:ind w:firstLine="440"/>
            <w:rPr>
              <w:rFonts w:cstheme="minorBidi"/>
              <w:kern w:val="2"/>
              <w14:ligatures w14:val="standardContextual"/>
            </w:rPr>
          </w:pPr>
          <w:r>
            <w:fldChar w:fldCharType="begin"/>
          </w:r>
          <w:r>
            <w:instrText xml:space="preserve"> HYPERLINK \l "_Toc186557541" </w:instrText>
          </w:r>
          <w:r>
            <w:fldChar w:fldCharType="separate"/>
          </w:r>
          <w:r>
            <w:rPr>
              <w:rStyle w:val="12"/>
              <w:rFonts w:hint="eastAsia" w:ascii="Times New Roman" w:hAnsi="Times New Roman" w:eastAsia="黑体"/>
            </w:rPr>
            <w:t>1.1 任务来源</w:t>
          </w:r>
          <w:r>
            <w:rPr>
              <w:rFonts w:hint="eastAsia"/>
            </w:rPr>
            <w:tab/>
          </w:r>
          <w:r>
            <w:rPr>
              <w:rFonts w:hint="eastAsia"/>
            </w:rPr>
            <w:fldChar w:fldCharType="begin"/>
          </w:r>
          <w:r>
            <w:rPr>
              <w:rFonts w:hint="eastAsia"/>
            </w:rPr>
            <w:instrText xml:space="preserve"> </w:instrText>
          </w:r>
          <w:r>
            <w:instrText xml:space="preserve">PAGEREF _Toc186557541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14:paraId="50D879D5">
          <w:pPr>
            <w:pStyle w:val="8"/>
            <w:tabs>
              <w:tab w:val="right" w:leader="dot" w:pos="9345"/>
            </w:tabs>
            <w:ind w:firstLine="440"/>
            <w:rPr>
              <w:rFonts w:cstheme="minorBidi"/>
              <w:kern w:val="2"/>
              <w14:ligatures w14:val="standardContextual"/>
            </w:rPr>
          </w:pPr>
          <w:r>
            <w:fldChar w:fldCharType="begin"/>
          </w:r>
          <w:r>
            <w:instrText xml:space="preserve"> HYPERLINK \l "_Toc186557542" </w:instrText>
          </w:r>
          <w:r>
            <w:fldChar w:fldCharType="separate"/>
          </w:r>
          <w:r>
            <w:rPr>
              <w:rStyle w:val="12"/>
              <w:rFonts w:hint="eastAsia" w:ascii="Times New Roman" w:hAnsi="Times New Roman" w:eastAsia="黑体"/>
            </w:rPr>
            <w:t>1.2 工作过程</w:t>
          </w:r>
          <w:r>
            <w:rPr>
              <w:rFonts w:hint="eastAsia"/>
            </w:rPr>
            <w:tab/>
          </w:r>
          <w:r>
            <w:rPr>
              <w:rFonts w:hint="eastAsia"/>
            </w:rPr>
            <w:fldChar w:fldCharType="begin"/>
          </w:r>
          <w:r>
            <w:rPr>
              <w:rFonts w:hint="eastAsia"/>
            </w:rPr>
            <w:instrText xml:space="preserve"> </w:instrText>
          </w:r>
          <w:r>
            <w:instrText xml:space="preserve">PAGEREF _Toc186557542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14:paraId="1BC6BB1F">
          <w:pPr>
            <w:pStyle w:val="7"/>
            <w:tabs>
              <w:tab w:val="right" w:leader="dot" w:pos="9345"/>
            </w:tabs>
            <w:ind w:firstLine="440"/>
            <w:rPr>
              <w:rFonts w:cstheme="minorBidi"/>
              <w:kern w:val="2"/>
              <w14:ligatures w14:val="standardContextual"/>
            </w:rPr>
          </w:pPr>
          <w:r>
            <w:fldChar w:fldCharType="begin"/>
          </w:r>
          <w:r>
            <w:instrText xml:space="preserve"> HYPERLINK \l "_Toc186557543" </w:instrText>
          </w:r>
          <w:r>
            <w:fldChar w:fldCharType="separate"/>
          </w:r>
          <w:r>
            <w:rPr>
              <w:rStyle w:val="12"/>
              <w:rFonts w:hint="eastAsia" w:ascii="Times New Roman" w:hAnsi="Times New Roman" w:eastAsia="黑体"/>
            </w:rPr>
            <w:t>2 行业概况</w:t>
          </w:r>
          <w:r>
            <w:rPr>
              <w:rFonts w:hint="eastAsia"/>
            </w:rPr>
            <w:tab/>
          </w:r>
          <w:r>
            <w:rPr>
              <w:rFonts w:hint="eastAsia"/>
            </w:rPr>
            <w:fldChar w:fldCharType="begin"/>
          </w:r>
          <w:r>
            <w:rPr>
              <w:rFonts w:hint="eastAsia"/>
            </w:rPr>
            <w:instrText xml:space="preserve"> </w:instrText>
          </w:r>
          <w:r>
            <w:instrText xml:space="preserve">PAGEREF _Toc186557543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32054677">
          <w:pPr>
            <w:pStyle w:val="8"/>
            <w:tabs>
              <w:tab w:val="right" w:leader="dot" w:pos="9345"/>
            </w:tabs>
            <w:ind w:firstLine="440"/>
            <w:rPr>
              <w:rFonts w:cstheme="minorBidi"/>
              <w:kern w:val="2"/>
              <w14:ligatures w14:val="standardContextual"/>
            </w:rPr>
          </w:pPr>
          <w:r>
            <w:fldChar w:fldCharType="begin"/>
          </w:r>
          <w:r>
            <w:instrText xml:space="preserve"> HYPERLINK \l "_Toc186557544" </w:instrText>
          </w:r>
          <w:r>
            <w:fldChar w:fldCharType="separate"/>
          </w:r>
          <w:r>
            <w:rPr>
              <w:rStyle w:val="12"/>
              <w:rFonts w:hint="eastAsia" w:ascii="Times New Roman" w:hAnsi="Times New Roman" w:eastAsia="黑体"/>
            </w:rPr>
            <w:t>2.1 我省池塘养殖现状</w:t>
          </w:r>
          <w:r>
            <w:rPr>
              <w:rFonts w:hint="eastAsia"/>
            </w:rPr>
            <w:tab/>
          </w:r>
          <w:r>
            <w:rPr>
              <w:rFonts w:hint="eastAsia"/>
            </w:rPr>
            <w:fldChar w:fldCharType="begin"/>
          </w:r>
          <w:r>
            <w:rPr>
              <w:rFonts w:hint="eastAsia"/>
            </w:rPr>
            <w:instrText xml:space="preserve"> </w:instrText>
          </w:r>
          <w:r>
            <w:instrText xml:space="preserve">PAGEREF _Toc186557544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0F6D1189">
          <w:pPr>
            <w:pStyle w:val="8"/>
            <w:tabs>
              <w:tab w:val="right" w:leader="dot" w:pos="9345"/>
            </w:tabs>
            <w:ind w:firstLine="440"/>
            <w:rPr>
              <w:rFonts w:cstheme="minorBidi"/>
              <w:kern w:val="2"/>
              <w14:ligatures w14:val="standardContextual"/>
            </w:rPr>
          </w:pPr>
          <w:r>
            <w:fldChar w:fldCharType="begin"/>
          </w:r>
          <w:r>
            <w:instrText xml:space="preserve"> HYPERLINK \l "_Toc186557545" </w:instrText>
          </w:r>
          <w:r>
            <w:fldChar w:fldCharType="separate"/>
          </w:r>
          <w:r>
            <w:rPr>
              <w:rStyle w:val="12"/>
              <w:rFonts w:hint="eastAsia" w:ascii="Times New Roman" w:hAnsi="Times New Roman" w:eastAsia="黑体"/>
            </w:rPr>
            <w:t>2.2 行业发展趋势预测</w:t>
          </w:r>
          <w:r>
            <w:rPr>
              <w:rFonts w:hint="eastAsia"/>
            </w:rPr>
            <w:tab/>
          </w:r>
          <w:r>
            <w:rPr>
              <w:rFonts w:hint="eastAsia"/>
            </w:rPr>
            <w:fldChar w:fldCharType="begin"/>
          </w:r>
          <w:r>
            <w:rPr>
              <w:rFonts w:hint="eastAsia"/>
            </w:rPr>
            <w:instrText xml:space="preserve"> </w:instrText>
          </w:r>
          <w:r>
            <w:instrText xml:space="preserve">PAGEREF _Toc186557545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66466120">
          <w:pPr>
            <w:pStyle w:val="7"/>
            <w:tabs>
              <w:tab w:val="right" w:leader="dot" w:pos="9345"/>
            </w:tabs>
            <w:ind w:firstLine="440"/>
            <w:rPr>
              <w:rFonts w:cstheme="minorBidi"/>
              <w:kern w:val="2"/>
              <w14:ligatures w14:val="standardContextual"/>
            </w:rPr>
          </w:pPr>
          <w:r>
            <w:fldChar w:fldCharType="begin"/>
          </w:r>
          <w:r>
            <w:instrText xml:space="preserve"> HYPERLINK \l "_Toc186557546" </w:instrText>
          </w:r>
          <w:r>
            <w:fldChar w:fldCharType="separate"/>
          </w:r>
          <w:r>
            <w:rPr>
              <w:rStyle w:val="12"/>
              <w:rFonts w:hint="eastAsia" w:ascii="Times New Roman" w:hAnsi="Times New Roman" w:eastAsia="黑体"/>
            </w:rPr>
            <w:t>3 标准制订的必要性分析</w:t>
          </w:r>
          <w:r>
            <w:rPr>
              <w:rFonts w:hint="eastAsia"/>
            </w:rPr>
            <w:tab/>
          </w:r>
          <w:r>
            <w:rPr>
              <w:rFonts w:hint="eastAsia"/>
            </w:rPr>
            <w:fldChar w:fldCharType="begin"/>
          </w:r>
          <w:r>
            <w:rPr>
              <w:rFonts w:hint="eastAsia"/>
            </w:rPr>
            <w:instrText xml:space="preserve"> </w:instrText>
          </w:r>
          <w:r>
            <w:instrText xml:space="preserve">PAGEREF _Toc186557546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14:paraId="3508F6D8">
          <w:pPr>
            <w:pStyle w:val="8"/>
            <w:tabs>
              <w:tab w:val="right" w:leader="dot" w:pos="9345"/>
            </w:tabs>
            <w:ind w:firstLine="440"/>
            <w:rPr>
              <w:rFonts w:cstheme="minorBidi"/>
              <w:kern w:val="2"/>
              <w14:ligatures w14:val="standardContextual"/>
            </w:rPr>
          </w:pPr>
          <w:r>
            <w:fldChar w:fldCharType="begin"/>
          </w:r>
          <w:r>
            <w:instrText xml:space="preserve"> HYPERLINK \l "_Toc186557547" </w:instrText>
          </w:r>
          <w:r>
            <w:fldChar w:fldCharType="separate"/>
          </w:r>
          <w:r>
            <w:rPr>
              <w:rStyle w:val="12"/>
              <w:rFonts w:hint="eastAsia" w:ascii="Times New Roman" w:hAnsi="Times New Roman" w:eastAsia="黑体"/>
            </w:rPr>
            <w:t>3.1 国家和江苏省政府的要求</w:t>
          </w:r>
          <w:r>
            <w:rPr>
              <w:rFonts w:hint="eastAsia"/>
            </w:rPr>
            <w:tab/>
          </w:r>
          <w:r>
            <w:rPr>
              <w:rFonts w:hint="eastAsia"/>
            </w:rPr>
            <w:fldChar w:fldCharType="begin"/>
          </w:r>
          <w:r>
            <w:rPr>
              <w:rFonts w:hint="eastAsia"/>
            </w:rPr>
            <w:instrText xml:space="preserve"> </w:instrText>
          </w:r>
          <w:r>
            <w:instrText xml:space="preserve">PAGEREF _Toc186557547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14:paraId="33F29DBA">
          <w:pPr>
            <w:pStyle w:val="8"/>
            <w:tabs>
              <w:tab w:val="right" w:leader="dot" w:pos="9345"/>
            </w:tabs>
            <w:ind w:firstLine="440"/>
            <w:rPr>
              <w:rFonts w:cstheme="minorBidi"/>
              <w:kern w:val="2"/>
              <w14:ligatures w14:val="standardContextual"/>
            </w:rPr>
          </w:pPr>
          <w:r>
            <w:fldChar w:fldCharType="begin"/>
          </w:r>
          <w:r>
            <w:instrText xml:space="preserve"> HYPERLINK \l "_Toc186557548" </w:instrText>
          </w:r>
          <w:r>
            <w:fldChar w:fldCharType="separate"/>
          </w:r>
          <w:r>
            <w:rPr>
              <w:rStyle w:val="12"/>
              <w:rFonts w:hint="eastAsia" w:ascii="Times New Roman" w:hAnsi="Times New Roman" w:eastAsia="黑体"/>
            </w:rPr>
            <w:t>3.2 行业发展带来的主要环境问题</w:t>
          </w:r>
          <w:r>
            <w:rPr>
              <w:rFonts w:hint="eastAsia"/>
            </w:rPr>
            <w:tab/>
          </w:r>
          <w:r>
            <w:rPr>
              <w:rFonts w:hint="eastAsia"/>
            </w:rPr>
            <w:fldChar w:fldCharType="begin"/>
          </w:r>
          <w:r>
            <w:rPr>
              <w:rFonts w:hint="eastAsia"/>
            </w:rPr>
            <w:instrText xml:space="preserve"> </w:instrText>
          </w:r>
          <w:r>
            <w:instrText xml:space="preserve">PAGEREF _Toc186557548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14:paraId="7D99B990">
          <w:pPr>
            <w:pStyle w:val="8"/>
            <w:tabs>
              <w:tab w:val="right" w:leader="dot" w:pos="9345"/>
            </w:tabs>
            <w:ind w:firstLine="440"/>
            <w:rPr>
              <w:rFonts w:cstheme="minorBidi"/>
              <w:kern w:val="2"/>
              <w14:ligatures w14:val="standardContextual"/>
            </w:rPr>
          </w:pPr>
          <w:r>
            <w:fldChar w:fldCharType="begin"/>
          </w:r>
          <w:r>
            <w:instrText xml:space="preserve"> HYPERLINK \l "_Toc186557549" </w:instrText>
          </w:r>
          <w:r>
            <w:fldChar w:fldCharType="separate"/>
          </w:r>
          <w:r>
            <w:rPr>
              <w:rStyle w:val="12"/>
              <w:rFonts w:hint="eastAsia" w:ascii="Times New Roman" w:hAnsi="Times New Roman" w:eastAsia="黑体"/>
            </w:rPr>
            <w:t>3.3 相关先进技术的指导性文件</w:t>
          </w:r>
          <w:r>
            <w:rPr>
              <w:rFonts w:hint="eastAsia"/>
            </w:rPr>
            <w:tab/>
          </w:r>
          <w:r>
            <w:rPr>
              <w:rFonts w:hint="eastAsia"/>
            </w:rPr>
            <w:fldChar w:fldCharType="begin"/>
          </w:r>
          <w:r>
            <w:rPr>
              <w:rFonts w:hint="eastAsia"/>
            </w:rPr>
            <w:instrText xml:space="preserve"> </w:instrText>
          </w:r>
          <w:r>
            <w:instrText xml:space="preserve">PAGEREF _Toc186557549 \h</w:instrText>
          </w:r>
          <w:r>
            <w:rPr>
              <w:rFonts w:hint="eastAsia"/>
            </w:rPr>
            <w:instrText xml:space="preserve"> </w:instrText>
          </w:r>
          <w:r>
            <w:rPr>
              <w:rFonts w:hint="eastAsia"/>
            </w:rPr>
            <w:fldChar w:fldCharType="separate"/>
          </w:r>
          <w:r>
            <w:t>5</w:t>
          </w:r>
          <w:r>
            <w:rPr>
              <w:rFonts w:hint="eastAsia"/>
            </w:rPr>
            <w:fldChar w:fldCharType="end"/>
          </w:r>
          <w:r>
            <w:rPr>
              <w:rFonts w:hint="eastAsia"/>
            </w:rPr>
            <w:fldChar w:fldCharType="end"/>
          </w:r>
        </w:p>
        <w:p w14:paraId="0D70D715">
          <w:pPr>
            <w:pStyle w:val="7"/>
            <w:tabs>
              <w:tab w:val="right" w:leader="dot" w:pos="9345"/>
            </w:tabs>
            <w:ind w:firstLine="440"/>
            <w:rPr>
              <w:rFonts w:cstheme="minorBidi"/>
              <w:kern w:val="2"/>
              <w14:ligatures w14:val="standardContextual"/>
            </w:rPr>
          </w:pPr>
          <w:r>
            <w:fldChar w:fldCharType="begin"/>
          </w:r>
          <w:r>
            <w:instrText xml:space="preserve"> HYPERLINK \l "_Toc186557550" </w:instrText>
          </w:r>
          <w:r>
            <w:fldChar w:fldCharType="separate"/>
          </w:r>
          <w:r>
            <w:rPr>
              <w:rStyle w:val="12"/>
              <w:rFonts w:hint="eastAsia" w:ascii="Times New Roman" w:hAnsi="Times New Roman" w:eastAsia="黑体"/>
            </w:rPr>
            <w:t>4 标准制订的原则</w:t>
          </w:r>
          <w:r>
            <w:rPr>
              <w:rFonts w:hint="eastAsia"/>
            </w:rPr>
            <w:tab/>
          </w:r>
          <w:r>
            <w:rPr>
              <w:rFonts w:hint="eastAsia"/>
            </w:rPr>
            <w:fldChar w:fldCharType="begin"/>
          </w:r>
          <w:r>
            <w:rPr>
              <w:rFonts w:hint="eastAsia"/>
            </w:rPr>
            <w:instrText xml:space="preserve"> </w:instrText>
          </w:r>
          <w:r>
            <w:instrText xml:space="preserve">PAGEREF _Toc186557550 \h</w:instrText>
          </w:r>
          <w:r>
            <w:rPr>
              <w:rFonts w:hint="eastAsia"/>
            </w:rPr>
            <w:instrText xml:space="preserve"> </w:instrText>
          </w:r>
          <w:r>
            <w:rPr>
              <w:rFonts w:hint="eastAsia"/>
            </w:rPr>
            <w:fldChar w:fldCharType="separate"/>
          </w:r>
          <w:r>
            <w:t>6</w:t>
          </w:r>
          <w:r>
            <w:rPr>
              <w:rFonts w:hint="eastAsia"/>
            </w:rPr>
            <w:fldChar w:fldCharType="end"/>
          </w:r>
          <w:r>
            <w:rPr>
              <w:rFonts w:hint="eastAsia"/>
            </w:rPr>
            <w:fldChar w:fldCharType="end"/>
          </w:r>
        </w:p>
        <w:p w14:paraId="3CF7E738">
          <w:pPr>
            <w:pStyle w:val="8"/>
            <w:tabs>
              <w:tab w:val="right" w:leader="dot" w:pos="9345"/>
            </w:tabs>
            <w:ind w:firstLine="440"/>
            <w:rPr>
              <w:rFonts w:cstheme="minorBidi"/>
              <w:kern w:val="2"/>
              <w14:ligatures w14:val="standardContextual"/>
            </w:rPr>
          </w:pPr>
          <w:r>
            <w:fldChar w:fldCharType="begin"/>
          </w:r>
          <w:r>
            <w:instrText xml:space="preserve"> HYPERLINK \l "_Toc186557551" </w:instrText>
          </w:r>
          <w:r>
            <w:fldChar w:fldCharType="separate"/>
          </w:r>
          <w:r>
            <w:rPr>
              <w:rStyle w:val="12"/>
              <w:rFonts w:hint="eastAsia" w:ascii="Times New Roman" w:hAnsi="Times New Roman" w:eastAsia="黑体"/>
            </w:rPr>
            <w:t>4.1 基本原则</w:t>
          </w:r>
          <w:r>
            <w:rPr>
              <w:rFonts w:hint="eastAsia"/>
            </w:rPr>
            <w:tab/>
          </w:r>
          <w:r>
            <w:rPr>
              <w:rFonts w:hint="eastAsia"/>
            </w:rPr>
            <w:fldChar w:fldCharType="begin"/>
          </w:r>
          <w:r>
            <w:rPr>
              <w:rFonts w:hint="eastAsia"/>
            </w:rPr>
            <w:instrText xml:space="preserve"> </w:instrText>
          </w:r>
          <w:r>
            <w:instrText xml:space="preserve">PAGEREF _Toc186557551 \h</w:instrText>
          </w:r>
          <w:r>
            <w:rPr>
              <w:rFonts w:hint="eastAsia"/>
            </w:rPr>
            <w:instrText xml:space="preserve"> </w:instrText>
          </w:r>
          <w:r>
            <w:rPr>
              <w:rFonts w:hint="eastAsia"/>
            </w:rPr>
            <w:fldChar w:fldCharType="separate"/>
          </w:r>
          <w:r>
            <w:t>6</w:t>
          </w:r>
          <w:r>
            <w:rPr>
              <w:rFonts w:hint="eastAsia"/>
            </w:rPr>
            <w:fldChar w:fldCharType="end"/>
          </w:r>
          <w:r>
            <w:rPr>
              <w:rFonts w:hint="eastAsia"/>
            </w:rPr>
            <w:fldChar w:fldCharType="end"/>
          </w:r>
        </w:p>
        <w:p w14:paraId="0D6E17BA">
          <w:pPr>
            <w:pStyle w:val="8"/>
            <w:tabs>
              <w:tab w:val="right" w:leader="dot" w:pos="9345"/>
            </w:tabs>
            <w:ind w:firstLine="440"/>
            <w:rPr>
              <w:rFonts w:cstheme="minorBidi"/>
              <w:kern w:val="2"/>
              <w14:ligatures w14:val="standardContextual"/>
            </w:rPr>
          </w:pPr>
          <w:r>
            <w:fldChar w:fldCharType="begin"/>
          </w:r>
          <w:r>
            <w:instrText xml:space="preserve"> HYPERLINK \l "_Toc186557552" </w:instrText>
          </w:r>
          <w:r>
            <w:fldChar w:fldCharType="separate"/>
          </w:r>
          <w:r>
            <w:rPr>
              <w:rStyle w:val="12"/>
              <w:rFonts w:hint="eastAsia" w:ascii="Times New Roman" w:hAnsi="Times New Roman" w:eastAsia="黑体" w:cs="Times New Roman"/>
            </w:rPr>
            <w:t>4.2编制依据</w:t>
          </w:r>
          <w:r>
            <w:rPr>
              <w:rFonts w:hint="eastAsia"/>
            </w:rPr>
            <w:tab/>
          </w:r>
          <w:r>
            <w:rPr>
              <w:rFonts w:hint="eastAsia"/>
            </w:rPr>
            <w:fldChar w:fldCharType="begin"/>
          </w:r>
          <w:r>
            <w:rPr>
              <w:rFonts w:hint="eastAsia"/>
            </w:rPr>
            <w:instrText xml:space="preserve"> </w:instrText>
          </w:r>
          <w:r>
            <w:instrText xml:space="preserve">PAGEREF _Toc186557552 \h</w:instrText>
          </w:r>
          <w:r>
            <w:rPr>
              <w:rFonts w:hint="eastAsia"/>
            </w:rPr>
            <w:instrText xml:space="preserve"> </w:instrText>
          </w:r>
          <w:r>
            <w:rPr>
              <w:rFonts w:hint="eastAsia"/>
            </w:rPr>
            <w:fldChar w:fldCharType="separate"/>
          </w:r>
          <w:r>
            <w:t>6</w:t>
          </w:r>
          <w:r>
            <w:rPr>
              <w:rFonts w:hint="eastAsia"/>
            </w:rPr>
            <w:fldChar w:fldCharType="end"/>
          </w:r>
          <w:r>
            <w:rPr>
              <w:rFonts w:hint="eastAsia"/>
            </w:rPr>
            <w:fldChar w:fldCharType="end"/>
          </w:r>
        </w:p>
        <w:p w14:paraId="5390FFE1">
          <w:pPr>
            <w:pStyle w:val="7"/>
            <w:tabs>
              <w:tab w:val="right" w:leader="dot" w:pos="9345"/>
            </w:tabs>
            <w:ind w:firstLine="440"/>
            <w:rPr>
              <w:rFonts w:cstheme="minorBidi"/>
              <w:kern w:val="2"/>
              <w14:ligatures w14:val="standardContextual"/>
            </w:rPr>
          </w:pPr>
          <w:r>
            <w:fldChar w:fldCharType="begin"/>
          </w:r>
          <w:r>
            <w:instrText xml:space="preserve"> HYPERLINK \l "_Toc186557553" </w:instrText>
          </w:r>
          <w:r>
            <w:fldChar w:fldCharType="separate"/>
          </w:r>
          <w:r>
            <w:rPr>
              <w:rStyle w:val="12"/>
              <w:rFonts w:hint="eastAsia" w:ascii="Times New Roman" w:hAnsi="Times New Roman" w:eastAsia="黑体"/>
            </w:rPr>
            <w:t>5 标准的主要内容及依据</w:t>
          </w:r>
          <w:r>
            <w:rPr>
              <w:rFonts w:hint="eastAsia"/>
            </w:rPr>
            <w:tab/>
          </w:r>
          <w:r>
            <w:rPr>
              <w:rFonts w:hint="eastAsia"/>
            </w:rPr>
            <w:fldChar w:fldCharType="begin"/>
          </w:r>
          <w:r>
            <w:rPr>
              <w:rFonts w:hint="eastAsia"/>
            </w:rPr>
            <w:instrText xml:space="preserve"> </w:instrText>
          </w:r>
          <w:r>
            <w:instrText xml:space="preserve">PAGEREF _Toc186557553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7CB53540">
          <w:pPr>
            <w:pStyle w:val="8"/>
            <w:tabs>
              <w:tab w:val="right" w:leader="dot" w:pos="9345"/>
            </w:tabs>
            <w:ind w:firstLine="440"/>
            <w:rPr>
              <w:rFonts w:cstheme="minorBidi"/>
              <w:kern w:val="2"/>
              <w14:ligatures w14:val="standardContextual"/>
            </w:rPr>
          </w:pPr>
          <w:r>
            <w:fldChar w:fldCharType="begin"/>
          </w:r>
          <w:r>
            <w:instrText xml:space="preserve"> HYPERLINK \l "_Toc186557554" </w:instrText>
          </w:r>
          <w:r>
            <w:fldChar w:fldCharType="separate"/>
          </w:r>
          <w:r>
            <w:rPr>
              <w:rStyle w:val="12"/>
              <w:rFonts w:hint="eastAsia" w:ascii="Times New Roman" w:hAnsi="Times New Roman" w:eastAsia="黑体"/>
            </w:rPr>
            <w:t>5.1 适用范围</w:t>
          </w:r>
          <w:r>
            <w:rPr>
              <w:rFonts w:hint="eastAsia"/>
            </w:rPr>
            <w:tab/>
          </w:r>
          <w:r>
            <w:rPr>
              <w:rFonts w:hint="eastAsia"/>
            </w:rPr>
            <w:fldChar w:fldCharType="begin"/>
          </w:r>
          <w:r>
            <w:rPr>
              <w:rFonts w:hint="eastAsia"/>
            </w:rPr>
            <w:instrText xml:space="preserve"> </w:instrText>
          </w:r>
          <w:r>
            <w:instrText xml:space="preserve">PAGEREF _Toc186557554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4EC8C246">
          <w:pPr>
            <w:pStyle w:val="8"/>
            <w:tabs>
              <w:tab w:val="right" w:leader="dot" w:pos="9345"/>
            </w:tabs>
            <w:ind w:firstLine="440"/>
            <w:rPr>
              <w:rFonts w:cstheme="minorBidi"/>
              <w:kern w:val="2"/>
              <w14:ligatures w14:val="standardContextual"/>
            </w:rPr>
          </w:pPr>
          <w:r>
            <w:fldChar w:fldCharType="begin"/>
          </w:r>
          <w:r>
            <w:instrText xml:space="preserve"> HYPERLINK \l "_Toc186557555" </w:instrText>
          </w:r>
          <w:r>
            <w:fldChar w:fldCharType="separate"/>
          </w:r>
          <w:r>
            <w:rPr>
              <w:rStyle w:val="12"/>
              <w:rFonts w:hint="eastAsia" w:ascii="Times New Roman" w:hAnsi="Times New Roman" w:eastAsia="黑体"/>
            </w:rPr>
            <w:t>5.2 主要内容</w:t>
          </w:r>
          <w:r>
            <w:rPr>
              <w:rFonts w:hint="eastAsia"/>
            </w:rPr>
            <w:tab/>
          </w:r>
          <w:r>
            <w:rPr>
              <w:rFonts w:hint="eastAsia"/>
            </w:rPr>
            <w:fldChar w:fldCharType="begin"/>
          </w:r>
          <w:r>
            <w:rPr>
              <w:rFonts w:hint="eastAsia"/>
            </w:rPr>
            <w:instrText xml:space="preserve"> </w:instrText>
          </w:r>
          <w:r>
            <w:instrText xml:space="preserve">PAGEREF _Toc186557555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06D1D22C">
          <w:pPr>
            <w:pStyle w:val="8"/>
            <w:tabs>
              <w:tab w:val="right" w:leader="dot" w:pos="9345"/>
            </w:tabs>
            <w:ind w:firstLine="440"/>
            <w:rPr>
              <w:rFonts w:cstheme="minorBidi"/>
              <w:kern w:val="2"/>
              <w14:ligatures w14:val="standardContextual"/>
            </w:rPr>
          </w:pPr>
          <w:r>
            <w:fldChar w:fldCharType="begin"/>
          </w:r>
          <w:r>
            <w:instrText xml:space="preserve"> HYPERLINK \l "_Toc186557556" </w:instrText>
          </w:r>
          <w:r>
            <w:fldChar w:fldCharType="separate"/>
          </w:r>
          <w:r>
            <w:rPr>
              <w:rStyle w:val="12"/>
              <w:rFonts w:hint="eastAsia" w:ascii="Times New Roman" w:hAnsi="Times New Roman" w:eastAsia="黑体"/>
            </w:rPr>
            <w:t>5.3 术语和定义</w:t>
          </w:r>
          <w:r>
            <w:rPr>
              <w:rFonts w:hint="eastAsia"/>
            </w:rPr>
            <w:tab/>
          </w:r>
          <w:r>
            <w:rPr>
              <w:rFonts w:hint="eastAsia"/>
            </w:rPr>
            <w:fldChar w:fldCharType="begin"/>
          </w:r>
          <w:r>
            <w:rPr>
              <w:rFonts w:hint="eastAsia"/>
            </w:rPr>
            <w:instrText xml:space="preserve"> </w:instrText>
          </w:r>
          <w:r>
            <w:instrText xml:space="preserve">PAGEREF _Toc186557556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3A789430">
          <w:pPr>
            <w:pStyle w:val="8"/>
            <w:tabs>
              <w:tab w:val="right" w:leader="dot" w:pos="9345"/>
            </w:tabs>
            <w:ind w:firstLine="440"/>
            <w:rPr>
              <w:rFonts w:cstheme="minorBidi"/>
              <w:kern w:val="2"/>
              <w14:ligatures w14:val="standardContextual"/>
            </w:rPr>
          </w:pPr>
          <w:r>
            <w:fldChar w:fldCharType="begin"/>
          </w:r>
          <w:r>
            <w:instrText xml:space="preserve"> HYPERLINK \l "_Toc186557557" </w:instrText>
          </w:r>
          <w:r>
            <w:fldChar w:fldCharType="separate"/>
          </w:r>
          <w:r>
            <w:rPr>
              <w:rStyle w:val="12"/>
              <w:rFonts w:hint="eastAsia" w:ascii="Times New Roman" w:hAnsi="Times New Roman" w:eastAsia="黑体"/>
            </w:rPr>
            <w:t>5.4 工艺流程</w:t>
          </w:r>
          <w:r>
            <w:rPr>
              <w:rFonts w:hint="eastAsia"/>
            </w:rPr>
            <w:tab/>
          </w:r>
          <w:r>
            <w:rPr>
              <w:rFonts w:hint="eastAsia"/>
            </w:rPr>
            <w:fldChar w:fldCharType="begin"/>
          </w:r>
          <w:r>
            <w:rPr>
              <w:rFonts w:hint="eastAsia"/>
            </w:rPr>
            <w:instrText xml:space="preserve"> </w:instrText>
          </w:r>
          <w:r>
            <w:instrText xml:space="preserve">PAGEREF _Toc186557557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14:paraId="3ED9C3BD">
          <w:pPr>
            <w:pStyle w:val="8"/>
            <w:tabs>
              <w:tab w:val="right" w:leader="dot" w:pos="9345"/>
            </w:tabs>
            <w:ind w:firstLine="440"/>
            <w:rPr>
              <w:rFonts w:cstheme="minorBidi"/>
              <w:kern w:val="2"/>
              <w14:ligatures w14:val="standardContextual"/>
            </w:rPr>
          </w:pPr>
          <w:r>
            <w:fldChar w:fldCharType="begin"/>
          </w:r>
          <w:r>
            <w:instrText xml:space="preserve"> HYPERLINK \l "_Toc186557558" </w:instrText>
          </w:r>
          <w:r>
            <w:fldChar w:fldCharType="separate"/>
          </w:r>
          <w:r>
            <w:rPr>
              <w:rStyle w:val="12"/>
              <w:rFonts w:hint="eastAsia" w:ascii="Times New Roman" w:hAnsi="Times New Roman" w:eastAsia="黑体"/>
            </w:rPr>
            <w:t>5.5 主要处理设施参数</w:t>
          </w:r>
          <w:r>
            <w:rPr>
              <w:rFonts w:hint="eastAsia"/>
            </w:rPr>
            <w:tab/>
          </w:r>
          <w:r>
            <w:rPr>
              <w:rFonts w:hint="eastAsia"/>
            </w:rPr>
            <w:fldChar w:fldCharType="begin"/>
          </w:r>
          <w:r>
            <w:rPr>
              <w:rFonts w:hint="eastAsia"/>
            </w:rPr>
            <w:instrText xml:space="preserve"> </w:instrText>
          </w:r>
          <w:r>
            <w:instrText xml:space="preserve">PAGEREF _Toc186557558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4336FC62">
          <w:pPr>
            <w:pStyle w:val="8"/>
            <w:tabs>
              <w:tab w:val="right" w:leader="dot" w:pos="9345"/>
            </w:tabs>
            <w:ind w:firstLine="440"/>
            <w:rPr>
              <w:rFonts w:cstheme="minorBidi"/>
              <w:kern w:val="2"/>
              <w14:ligatures w14:val="standardContextual"/>
            </w:rPr>
          </w:pPr>
          <w:r>
            <w:fldChar w:fldCharType="begin"/>
          </w:r>
          <w:r>
            <w:instrText xml:space="preserve"> HYPERLINK \l "_Toc186557559" </w:instrText>
          </w:r>
          <w:r>
            <w:fldChar w:fldCharType="separate"/>
          </w:r>
          <w:r>
            <w:rPr>
              <w:rStyle w:val="12"/>
              <w:rFonts w:hint="eastAsia" w:ascii="Times New Roman" w:hAnsi="Times New Roman" w:eastAsia="黑体"/>
            </w:rPr>
            <w:t>5.6 环境管理措施</w:t>
          </w:r>
          <w:r>
            <w:rPr>
              <w:rFonts w:hint="eastAsia"/>
            </w:rPr>
            <w:tab/>
          </w:r>
          <w:r>
            <w:rPr>
              <w:rFonts w:hint="eastAsia"/>
            </w:rPr>
            <w:fldChar w:fldCharType="begin"/>
          </w:r>
          <w:r>
            <w:rPr>
              <w:rFonts w:hint="eastAsia"/>
            </w:rPr>
            <w:instrText xml:space="preserve"> </w:instrText>
          </w:r>
          <w:r>
            <w:instrText xml:space="preserve">PAGEREF _Toc186557559 \h</w:instrText>
          </w:r>
          <w:r>
            <w:rPr>
              <w:rFonts w:hint="eastAsia"/>
            </w:rPr>
            <w:instrText xml:space="preserve"> </w:instrText>
          </w:r>
          <w:r>
            <w:rPr>
              <w:rFonts w:hint="eastAsia"/>
            </w:rPr>
            <w:fldChar w:fldCharType="separate"/>
          </w:r>
          <w:r>
            <w:t>20</w:t>
          </w:r>
          <w:r>
            <w:rPr>
              <w:rFonts w:hint="eastAsia"/>
            </w:rPr>
            <w:fldChar w:fldCharType="end"/>
          </w:r>
          <w:r>
            <w:rPr>
              <w:rFonts w:hint="eastAsia"/>
            </w:rPr>
            <w:fldChar w:fldCharType="end"/>
          </w:r>
        </w:p>
        <w:p w14:paraId="2F7D0376">
          <w:pPr>
            <w:pStyle w:val="7"/>
            <w:tabs>
              <w:tab w:val="right" w:leader="dot" w:pos="9345"/>
            </w:tabs>
            <w:ind w:firstLine="440"/>
            <w:rPr>
              <w:rFonts w:cstheme="minorBidi"/>
              <w:kern w:val="2"/>
              <w14:ligatures w14:val="standardContextual"/>
            </w:rPr>
          </w:pPr>
          <w:r>
            <w:fldChar w:fldCharType="begin"/>
          </w:r>
          <w:r>
            <w:instrText xml:space="preserve"> HYPERLINK \l "_Toc186557560" </w:instrText>
          </w:r>
          <w:r>
            <w:fldChar w:fldCharType="separate"/>
          </w:r>
          <w:r>
            <w:rPr>
              <w:rStyle w:val="12"/>
              <w:rFonts w:hint="eastAsia" w:ascii="Times New Roman" w:hAnsi="Times New Roman" w:eastAsia="黑体"/>
            </w:rPr>
            <w:t>6 国内外相关标准研究</w:t>
          </w:r>
          <w:r>
            <w:rPr>
              <w:rFonts w:hint="eastAsia"/>
            </w:rPr>
            <w:tab/>
          </w:r>
          <w:r>
            <w:rPr>
              <w:rFonts w:hint="eastAsia"/>
            </w:rPr>
            <w:fldChar w:fldCharType="begin"/>
          </w:r>
          <w:r>
            <w:rPr>
              <w:rFonts w:hint="eastAsia"/>
            </w:rPr>
            <w:instrText xml:space="preserve"> </w:instrText>
          </w:r>
          <w:r>
            <w:instrText xml:space="preserve">PAGEREF _Toc186557560 \h</w:instrText>
          </w:r>
          <w:r>
            <w:rPr>
              <w:rFonts w:hint="eastAsia"/>
            </w:rPr>
            <w:instrText xml:space="preserve"> </w:instrText>
          </w:r>
          <w:r>
            <w:rPr>
              <w:rFonts w:hint="eastAsia"/>
            </w:rPr>
            <w:fldChar w:fldCharType="separate"/>
          </w:r>
          <w:r>
            <w:t>21</w:t>
          </w:r>
          <w:r>
            <w:rPr>
              <w:rFonts w:hint="eastAsia"/>
            </w:rPr>
            <w:fldChar w:fldCharType="end"/>
          </w:r>
          <w:r>
            <w:rPr>
              <w:rFonts w:hint="eastAsia"/>
            </w:rPr>
            <w:fldChar w:fldCharType="end"/>
          </w:r>
        </w:p>
        <w:p w14:paraId="69FA80C2">
          <w:pPr>
            <w:pStyle w:val="8"/>
            <w:tabs>
              <w:tab w:val="right" w:leader="dot" w:pos="9345"/>
            </w:tabs>
            <w:ind w:firstLine="440"/>
            <w:rPr>
              <w:rFonts w:cstheme="minorBidi"/>
              <w:kern w:val="2"/>
              <w14:ligatures w14:val="standardContextual"/>
            </w:rPr>
          </w:pPr>
          <w:r>
            <w:fldChar w:fldCharType="begin"/>
          </w:r>
          <w:r>
            <w:instrText xml:space="preserve"> HYPERLINK \l "_Toc186557561" </w:instrText>
          </w:r>
          <w:r>
            <w:fldChar w:fldCharType="separate"/>
          </w:r>
          <w:r>
            <w:rPr>
              <w:rStyle w:val="12"/>
              <w:rFonts w:hint="eastAsia" w:ascii="Times New Roman" w:hAnsi="Times New Roman" w:eastAsia="黑体"/>
            </w:rPr>
            <w:t>6.1 国外相关标准概括</w:t>
          </w:r>
          <w:r>
            <w:rPr>
              <w:rFonts w:hint="eastAsia"/>
            </w:rPr>
            <w:tab/>
          </w:r>
          <w:r>
            <w:rPr>
              <w:rFonts w:hint="eastAsia"/>
            </w:rPr>
            <w:fldChar w:fldCharType="begin"/>
          </w:r>
          <w:r>
            <w:rPr>
              <w:rFonts w:hint="eastAsia"/>
            </w:rPr>
            <w:instrText xml:space="preserve"> </w:instrText>
          </w:r>
          <w:r>
            <w:instrText xml:space="preserve">PAGEREF _Toc186557561 \h</w:instrText>
          </w:r>
          <w:r>
            <w:rPr>
              <w:rFonts w:hint="eastAsia"/>
            </w:rPr>
            <w:instrText xml:space="preserve"> </w:instrText>
          </w:r>
          <w:r>
            <w:rPr>
              <w:rFonts w:hint="eastAsia"/>
            </w:rPr>
            <w:fldChar w:fldCharType="separate"/>
          </w:r>
          <w:r>
            <w:t>21</w:t>
          </w:r>
          <w:r>
            <w:rPr>
              <w:rFonts w:hint="eastAsia"/>
            </w:rPr>
            <w:fldChar w:fldCharType="end"/>
          </w:r>
          <w:r>
            <w:rPr>
              <w:rFonts w:hint="eastAsia"/>
            </w:rPr>
            <w:fldChar w:fldCharType="end"/>
          </w:r>
        </w:p>
        <w:p w14:paraId="4A2A89D6">
          <w:pPr>
            <w:pStyle w:val="8"/>
            <w:tabs>
              <w:tab w:val="right" w:leader="dot" w:pos="9345"/>
            </w:tabs>
            <w:ind w:firstLine="440"/>
            <w:rPr>
              <w:rFonts w:cstheme="minorBidi"/>
              <w:kern w:val="2"/>
              <w14:ligatures w14:val="standardContextual"/>
            </w:rPr>
          </w:pPr>
          <w:r>
            <w:fldChar w:fldCharType="begin"/>
          </w:r>
          <w:r>
            <w:instrText xml:space="preserve"> HYPERLINK \l "_Toc186557562" </w:instrText>
          </w:r>
          <w:r>
            <w:fldChar w:fldCharType="separate"/>
          </w:r>
          <w:r>
            <w:rPr>
              <w:rStyle w:val="12"/>
              <w:rFonts w:hint="eastAsia" w:ascii="Times New Roman" w:hAnsi="Times New Roman" w:eastAsia="黑体"/>
            </w:rPr>
            <w:t>6.2 本标准与国内同类标准的对比</w:t>
          </w:r>
          <w:r>
            <w:rPr>
              <w:rFonts w:hint="eastAsia"/>
            </w:rPr>
            <w:tab/>
          </w:r>
          <w:r>
            <w:rPr>
              <w:rFonts w:hint="eastAsia"/>
            </w:rPr>
            <w:fldChar w:fldCharType="begin"/>
          </w:r>
          <w:r>
            <w:rPr>
              <w:rFonts w:hint="eastAsia"/>
            </w:rPr>
            <w:instrText xml:space="preserve"> </w:instrText>
          </w:r>
          <w:r>
            <w:instrText xml:space="preserve">PAGEREF _Toc186557562 \h</w:instrText>
          </w:r>
          <w:r>
            <w:rPr>
              <w:rFonts w:hint="eastAsia"/>
            </w:rPr>
            <w:instrText xml:space="preserve"> </w:instrText>
          </w:r>
          <w:r>
            <w:rPr>
              <w:rFonts w:hint="eastAsia"/>
            </w:rPr>
            <w:fldChar w:fldCharType="separate"/>
          </w:r>
          <w:r>
            <w:t>21</w:t>
          </w:r>
          <w:r>
            <w:rPr>
              <w:rFonts w:hint="eastAsia"/>
            </w:rPr>
            <w:fldChar w:fldCharType="end"/>
          </w:r>
          <w:r>
            <w:rPr>
              <w:rFonts w:hint="eastAsia"/>
            </w:rPr>
            <w:fldChar w:fldCharType="end"/>
          </w:r>
        </w:p>
        <w:p w14:paraId="5CF6BE24">
          <w:pPr>
            <w:pStyle w:val="7"/>
            <w:tabs>
              <w:tab w:val="right" w:leader="dot" w:pos="9345"/>
            </w:tabs>
            <w:ind w:firstLine="440"/>
            <w:rPr>
              <w:rFonts w:cstheme="minorBidi"/>
              <w:kern w:val="2"/>
              <w14:ligatures w14:val="standardContextual"/>
            </w:rPr>
          </w:pPr>
          <w:r>
            <w:fldChar w:fldCharType="begin"/>
          </w:r>
          <w:r>
            <w:instrText xml:space="preserve"> HYPERLINK \l "_Toc186557563" </w:instrText>
          </w:r>
          <w:r>
            <w:fldChar w:fldCharType="separate"/>
          </w:r>
          <w:r>
            <w:rPr>
              <w:rStyle w:val="12"/>
              <w:rFonts w:hint="eastAsia" w:ascii="Times New Roman" w:hAnsi="Times New Roman" w:eastAsia="黑体"/>
            </w:rPr>
            <w:t>7 标准实施效益分析</w:t>
          </w:r>
          <w:r>
            <w:rPr>
              <w:rFonts w:hint="eastAsia"/>
            </w:rPr>
            <w:tab/>
          </w:r>
          <w:r>
            <w:rPr>
              <w:rFonts w:hint="eastAsia"/>
            </w:rPr>
            <w:fldChar w:fldCharType="begin"/>
          </w:r>
          <w:r>
            <w:rPr>
              <w:rFonts w:hint="eastAsia"/>
            </w:rPr>
            <w:instrText xml:space="preserve"> </w:instrText>
          </w:r>
          <w:r>
            <w:instrText xml:space="preserve">PAGEREF _Toc186557563 \h</w:instrText>
          </w:r>
          <w:r>
            <w:rPr>
              <w:rFonts w:hint="eastAsia"/>
            </w:rPr>
            <w:instrText xml:space="preserve"> </w:instrText>
          </w:r>
          <w:r>
            <w:rPr>
              <w:rFonts w:hint="eastAsia"/>
            </w:rPr>
            <w:fldChar w:fldCharType="separate"/>
          </w:r>
          <w:r>
            <w:t>23</w:t>
          </w:r>
          <w:r>
            <w:rPr>
              <w:rFonts w:hint="eastAsia"/>
            </w:rPr>
            <w:fldChar w:fldCharType="end"/>
          </w:r>
          <w:r>
            <w:rPr>
              <w:rFonts w:hint="eastAsia"/>
            </w:rPr>
            <w:fldChar w:fldCharType="end"/>
          </w:r>
        </w:p>
        <w:p w14:paraId="00E95E66">
          <w:pPr>
            <w:pStyle w:val="8"/>
            <w:tabs>
              <w:tab w:val="right" w:leader="dot" w:pos="9345"/>
            </w:tabs>
            <w:ind w:firstLine="440"/>
            <w:rPr>
              <w:rFonts w:cstheme="minorBidi"/>
              <w:kern w:val="2"/>
              <w14:ligatures w14:val="standardContextual"/>
            </w:rPr>
          </w:pPr>
          <w:r>
            <w:fldChar w:fldCharType="begin"/>
          </w:r>
          <w:r>
            <w:instrText xml:space="preserve"> HYPERLINK \l "_Toc186557564" </w:instrText>
          </w:r>
          <w:r>
            <w:fldChar w:fldCharType="separate"/>
          </w:r>
          <w:r>
            <w:rPr>
              <w:rStyle w:val="12"/>
              <w:rFonts w:hint="eastAsia" w:ascii="Times New Roman" w:hAnsi="Times New Roman" w:eastAsia="黑体"/>
            </w:rPr>
            <w:t>7.1 生态效益</w:t>
          </w:r>
          <w:r>
            <w:rPr>
              <w:rFonts w:hint="eastAsia"/>
            </w:rPr>
            <w:tab/>
          </w:r>
          <w:r>
            <w:rPr>
              <w:rFonts w:hint="eastAsia"/>
            </w:rPr>
            <w:fldChar w:fldCharType="begin"/>
          </w:r>
          <w:r>
            <w:rPr>
              <w:rFonts w:hint="eastAsia"/>
            </w:rPr>
            <w:instrText xml:space="preserve"> </w:instrText>
          </w:r>
          <w:r>
            <w:instrText xml:space="preserve">PAGEREF _Toc186557564 \h</w:instrText>
          </w:r>
          <w:r>
            <w:rPr>
              <w:rFonts w:hint="eastAsia"/>
            </w:rPr>
            <w:instrText xml:space="preserve"> </w:instrText>
          </w:r>
          <w:r>
            <w:rPr>
              <w:rFonts w:hint="eastAsia"/>
            </w:rPr>
            <w:fldChar w:fldCharType="separate"/>
          </w:r>
          <w:r>
            <w:t>23</w:t>
          </w:r>
          <w:r>
            <w:rPr>
              <w:rFonts w:hint="eastAsia"/>
            </w:rPr>
            <w:fldChar w:fldCharType="end"/>
          </w:r>
          <w:r>
            <w:rPr>
              <w:rFonts w:hint="eastAsia"/>
            </w:rPr>
            <w:fldChar w:fldCharType="end"/>
          </w:r>
        </w:p>
        <w:p w14:paraId="13D71113">
          <w:pPr>
            <w:pStyle w:val="8"/>
            <w:tabs>
              <w:tab w:val="right" w:leader="dot" w:pos="9345"/>
            </w:tabs>
            <w:ind w:firstLine="440"/>
            <w:rPr>
              <w:rFonts w:cstheme="minorBidi"/>
              <w:kern w:val="2"/>
              <w14:ligatures w14:val="standardContextual"/>
            </w:rPr>
          </w:pPr>
          <w:r>
            <w:fldChar w:fldCharType="begin"/>
          </w:r>
          <w:r>
            <w:instrText xml:space="preserve"> HYPERLINK \l "_Toc186557565" </w:instrText>
          </w:r>
          <w:r>
            <w:fldChar w:fldCharType="separate"/>
          </w:r>
          <w:r>
            <w:rPr>
              <w:rStyle w:val="12"/>
              <w:rFonts w:hint="eastAsia" w:ascii="Times New Roman" w:hAnsi="Times New Roman" w:eastAsia="黑体"/>
            </w:rPr>
            <w:t>7.2 经济效益</w:t>
          </w:r>
          <w:r>
            <w:rPr>
              <w:rFonts w:hint="eastAsia"/>
            </w:rPr>
            <w:tab/>
          </w:r>
          <w:r>
            <w:rPr>
              <w:rFonts w:hint="eastAsia"/>
            </w:rPr>
            <w:fldChar w:fldCharType="begin"/>
          </w:r>
          <w:r>
            <w:rPr>
              <w:rFonts w:hint="eastAsia"/>
            </w:rPr>
            <w:instrText xml:space="preserve"> </w:instrText>
          </w:r>
          <w:r>
            <w:instrText xml:space="preserve">PAGEREF _Toc186557565 \h</w:instrText>
          </w:r>
          <w:r>
            <w:rPr>
              <w:rFonts w:hint="eastAsia"/>
            </w:rPr>
            <w:instrText xml:space="preserve"> </w:instrText>
          </w:r>
          <w:r>
            <w:rPr>
              <w:rFonts w:hint="eastAsia"/>
            </w:rPr>
            <w:fldChar w:fldCharType="separate"/>
          </w:r>
          <w:r>
            <w:t>23</w:t>
          </w:r>
          <w:r>
            <w:rPr>
              <w:rFonts w:hint="eastAsia"/>
            </w:rPr>
            <w:fldChar w:fldCharType="end"/>
          </w:r>
          <w:r>
            <w:rPr>
              <w:rFonts w:hint="eastAsia"/>
            </w:rPr>
            <w:fldChar w:fldCharType="end"/>
          </w:r>
        </w:p>
        <w:p w14:paraId="3CB6CB36">
          <w:pPr>
            <w:pStyle w:val="8"/>
            <w:tabs>
              <w:tab w:val="right" w:leader="dot" w:pos="9345"/>
            </w:tabs>
            <w:ind w:firstLine="440"/>
            <w:rPr>
              <w:rFonts w:cstheme="minorBidi"/>
              <w:kern w:val="2"/>
              <w14:ligatures w14:val="standardContextual"/>
            </w:rPr>
          </w:pPr>
          <w:r>
            <w:fldChar w:fldCharType="begin"/>
          </w:r>
          <w:r>
            <w:instrText xml:space="preserve"> HYPERLINK \l "_Toc186557566" </w:instrText>
          </w:r>
          <w:r>
            <w:fldChar w:fldCharType="separate"/>
          </w:r>
          <w:r>
            <w:rPr>
              <w:rStyle w:val="12"/>
              <w:rFonts w:hint="eastAsia" w:ascii="Times New Roman" w:hAnsi="Times New Roman" w:eastAsia="黑体"/>
            </w:rPr>
            <w:t>7.3 社会效益</w:t>
          </w:r>
          <w:r>
            <w:rPr>
              <w:rFonts w:hint="eastAsia"/>
            </w:rPr>
            <w:tab/>
          </w:r>
          <w:r>
            <w:rPr>
              <w:rFonts w:hint="eastAsia"/>
            </w:rPr>
            <w:fldChar w:fldCharType="begin"/>
          </w:r>
          <w:r>
            <w:rPr>
              <w:rFonts w:hint="eastAsia"/>
            </w:rPr>
            <w:instrText xml:space="preserve"> </w:instrText>
          </w:r>
          <w:r>
            <w:instrText xml:space="preserve">PAGEREF _Toc186557566 \h</w:instrText>
          </w:r>
          <w:r>
            <w:rPr>
              <w:rFonts w:hint="eastAsia"/>
            </w:rPr>
            <w:instrText xml:space="preserve"> </w:instrText>
          </w:r>
          <w:r>
            <w:rPr>
              <w:rFonts w:hint="eastAsia"/>
            </w:rPr>
            <w:fldChar w:fldCharType="separate"/>
          </w:r>
          <w:r>
            <w:t>23</w:t>
          </w:r>
          <w:r>
            <w:rPr>
              <w:rFonts w:hint="eastAsia"/>
            </w:rPr>
            <w:fldChar w:fldCharType="end"/>
          </w:r>
          <w:r>
            <w:rPr>
              <w:rFonts w:hint="eastAsia"/>
            </w:rPr>
            <w:fldChar w:fldCharType="end"/>
          </w:r>
        </w:p>
        <w:p w14:paraId="4B9EBCA2">
          <w:pPr>
            <w:pStyle w:val="7"/>
            <w:tabs>
              <w:tab w:val="right" w:leader="dot" w:pos="9345"/>
            </w:tabs>
            <w:ind w:firstLine="440"/>
            <w:rPr>
              <w:rFonts w:cstheme="minorBidi"/>
              <w:kern w:val="2"/>
              <w14:ligatures w14:val="standardContextual"/>
            </w:rPr>
          </w:pPr>
          <w:r>
            <w:fldChar w:fldCharType="begin"/>
          </w:r>
          <w:r>
            <w:instrText xml:space="preserve"> HYPERLINK \l "_Toc186557567" </w:instrText>
          </w:r>
          <w:r>
            <w:fldChar w:fldCharType="separate"/>
          </w:r>
          <w:r>
            <w:rPr>
              <w:rStyle w:val="12"/>
              <w:rFonts w:hint="eastAsia" w:ascii="Times New Roman" w:hAnsi="Times New Roman" w:eastAsia="黑体"/>
            </w:rPr>
            <w:t>8 标准实施建议</w:t>
          </w:r>
          <w:r>
            <w:rPr>
              <w:rFonts w:hint="eastAsia"/>
            </w:rPr>
            <w:tab/>
          </w:r>
          <w:r>
            <w:rPr>
              <w:rFonts w:hint="eastAsia"/>
            </w:rPr>
            <w:fldChar w:fldCharType="begin"/>
          </w:r>
          <w:r>
            <w:rPr>
              <w:rFonts w:hint="eastAsia"/>
            </w:rPr>
            <w:instrText xml:space="preserve"> </w:instrText>
          </w:r>
          <w:r>
            <w:instrText xml:space="preserve">PAGEREF _Toc186557567 \h</w:instrText>
          </w:r>
          <w:r>
            <w:rPr>
              <w:rFonts w:hint="eastAsia"/>
            </w:rPr>
            <w:instrText xml:space="preserve"> </w:instrText>
          </w:r>
          <w:r>
            <w:rPr>
              <w:rFonts w:hint="eastAsia"/>
            </w:rPr>
            <w:fldChar w:fldCharType="separate"/>
          </w:r>
          <w:r>
            <w:t>23</w:t>
          </w:r>
          <w:r>
            <w:rPr>
              <w:rFonts w:hint="eastAsia"/>
            </w:rPr>
            <w:fldChar w:fldCharType="end"/>
          </w:r>
          <w:r>
            <w:rPr>
              <w:rFonts w:hint="eastAsia"/>
            </w:rPr>
            <w:fldChar w:fldCharType="end"/>
          </w:r>
        </w:p>
        <w:p w14:paraId="53F6CDE2">
          <w:pPr>
            <w:ind w:firstLine="482"/>
            <w:rPr>
              <w:rFonts w:hint="eastAsia"/>
            </w:rPr>
          </w:pPr>
          <w:r>
            <w:rPr>
              <w:rFonts w:ascii="Times New Roman" w:hAnsi="Times New Roman" w:cs="Times New Roman"/>
              <w:b/>
              <w:bCs/>
              <w:lang w:val="zh-CN"/>
            </w:rPr>
            <w:fldChar w:fldCharType="end"/>
          </w:r>
        </w:p>
      </w:sdtContent>
    </w:sdt>
    <w:p w14:paraId="02432BA8">
      <w:pPr>
        <w:pStyle w:val="16"/>
        <w:ind w:firstLine="420"/>
        <w:jc w:val="center"/>
        <w:rPr>
          <w:rFonts w:ascii="Times New Roman" w:hAnsi="Times New Roman" w:eastAsia="宋体" w:cs="Times New Roman"/>
          <w:color w:val="auto"/>
          <w:kern w:val="2"/>
          <w:sz w:val="21"/>
          <w:szCs w:val="22"/>
          <w:lang w:val="zh-CN"/>
        </w:rPr>
        <w:sectPr>
          <w:pgSz w:w="11906" w:h="16838"/>
          <w:pgMar w:top="1134" w:right="1134" w:bottom="1134" w:left="1417" w:header="851" w:footer="992" w:gutter="0"/>
          <w:cols w:space="425" w:num="1"/>
          <w:docGrid w:type="lines" w:linePitch="312" w:charSpace="0"/>
        </w:sectPr>
      </w:pPr>
    </w:p>
    <w:p w14:paraId="000BB85F">
      <w:pPr>
        <w:pStyle w:val="17"/>
        <w:spacing w:line="360" w:lineRule="auto"/>
        <w:rPr>
          <w:rFonts w:ascii="Times New Roman" w:hAnsi="Times New Roman" w:eastAsia="黑体"/>
          <w:b w:val="0"/>
          <w:bCs w:val="0"/>
          <w:sz w:val="24"/>
          <w:szCs w:val="36"/>
        </w:rPr>
      </w:pPr>
      <w:bookmarkStart w:id="2" w:name="_Toc186557540"/>
      <w:bookmarkStart w:id="3" w:name="_Toc170888040"/>
      <w:r>
        <w:rPr>
          <w:rFonts w:hint="eastAsia" w:ascii="Times New Roman" w:hAnsi="Times New Roman" w:eastAsia="黑体"/>
          <w:b w:val="0"/>
          <w:bCs w:val="0"/>
          <w:sz w:val="24"/>
          <w:szCs w:val="36"/>
        </w:rPr>
        <w:t>1 项目背景</w:t>
      </w:r>
      <w:bookmarkEnd w:id="2"/>
      <w:bookmarkEnd w:id="3"/>
    </w:p>
    <w:p w14:paraId="5CACD34D">
      <w:pPr>
        <w:pStyle w:val="22"/>
        <w:spacing w:line="360" w:lineRule="auto"/>
        <w:rPr>
          <w:rFonts w:ascii="Times New Roman" w:hAnsi="Times New Roman" w:eastAsia="黑体"/>
          <w:b w:val="0"/>
          <w:bCs w:val="0"/>
          <w:sz w:val="24"/>
          <w:szCs w:val="28"/>
        </w:rPr>
      </w:pPr>
      <w:bookmarkStart w:id="4" w:name="_Toc186557541"/>
      <w:bookmarkStart w:id="5" w:name="_Toc170888041"/>
      <w:r>
        <w:rPr>
          <w:rFonts w:hint="eastAsia" w:ascii="Times New Roman" w:hAnsi="Times New Roman" w:eastAsia="黑体"/>
          <w:b w:val="0"/>
          <w:bCs w:val="0"/>
          <w:sz w:val="24"/>
          <w:szCs w:val="28"/>
        </w:rPr>
        <w:t>1.1 任务来源</w:t>
      </w:r>
      <w:bookmarkEnd w:id="4"/>
      <w:bookmarkEnd w:id="5"/>
    </w:p>
    <w:p w14:paraId="6D33130E">
      <w:pPr>
        <w:rPr>
          <w:rFonts w:ascii="Times New Roman" w:hAnsi="Times New Roman" w:cs="Times New Roman"/>
        </w:rPr>
      </w:pPr>
      <w:r>
        <w:rPr>
          <w:rFonts w:hint="eastAsia" w:ascii="Times New Roman" w:hAnsi="Times New Roman" w:cs="Times New Roman"/>
        </w:rPr>
        <w:t>2024年2月28日，江苏省渔业协会发布《关于征集2024年江苏省渔业协会团体标准立项项目的通知》（苏渔协[2024]2号），征集2024年团体标准立项项目，要求立项范围围绕渔业相关的技术、产品、应用、服务等方面，聚焦新产品、新技术、新业态和新模式，填补标准空白。南京万瑞环境科技有限公司响应江苏省渔业协会通知，积极参加渔业养殖尾水处理技术规范的制定。</w:t>
      </w:r>
    </w:p>
    <w:p w14:paraId="5B6EDEA5">
      <w:pPr>
        <w:rPr>
          <w:rFonts w:ascii="Times New Roman" w:hAnsi="Times New Roman" w:cs="Times New Roman"/>
        </w:rPr>
      </w:pPr>
      <w:r>
        <w:rPr>
          <w:rFonts w:hint="eastAsia" w:ascii="Times New Roman" w:hAnsi="Times New Roman" w:cs="Times New Roman"/>
        </w:rPr>
        <w:t>起草单位：南京万瑞环境科技有限公司</w:t>
      </w:r>
    </w:p>
    <w:p w14:paraId="3AF3FE0E">
      <w:pPr>
        <w:rPr>
          <w:rFonts w:ascii="Times New Roman" w:hAnsi="Times New Roman" w:cs="Times New Roman"/>
        </w:rPr>
      </w:pPr>
      <w:r>
        <w:rPr>
          <w:rFonts w:hint="eastAsia" w:ascii="Times New Roman" w:hAnsi="Times New Roman" w:cs="Times New Roman"/>
        </w:rPr>
        <w:t>南京万瑞环境科技有限公司是一家专注于水环境生态治理、养殖尾水治理、黑臭河道治理、土壤修复、高难度废水处理领域的国家高新技术企业。</w:t>
      </w:r>
    </w:p>
    <w:p w14:paraId="49F8BAFF">
      <w:pPr>
        <w:rPr>
          <w:rFonts w:ascii="Times New Roman" w:hAnsi="Times New Roman" w:cs="Times New Roman"/>
        </w:rPr>
      </w:pPr>
      <w:r>
        <w:rPr>
          <w:rFonts w:hint="eastAsia" w:ascii="Times New Roman" w:hAnsi="Times New Roman" w:cs="Times New Roman"/>
        </w:rPr>
        <w:t>南京万瑞环境科技有限公司与中国科学院南京地理与湖泊研究所、江苏省渔业技术推广中心、江苏省淡水水产研究所等科研机构共同联合起草、制定了《池塘养殖尾水生态处理技术规范》（DB32/T4725-2024）。与生态环境部南京环境科学研究所、中国科学院南京地理与湖泊研究所、常州工学院等单位共同完成并申报了《长江下游连片池塘养殖尾水治理关键技术与应用》科技进步奖二等奖。</w:t>
      </w:r>
    </w:p>
    <w:p w14:paraId="5BD4D7C7">
      <w:pPr>
        <w:rPr>
          <w:rFonts w:ascii="Times New Roman" w:hAnsi="Times New Roman" w:cs="Times New Roman"/>
        </w:rPr>
      </w:pPr>
      <w:r>
        <w:rPr>
          <w:rFonts w:hint="eastAsia" w:ascii="Times New Roman" w:hAnsi="Times New Roman" w:cs="Times New Roman"/>
        </w:rPr>
        <w:t>南京万瑞环境科技有限公司在环境治理领域拥有多项发明专利，提出“微生物+生态处理”工艺概念，</w:t>
      </w:r>
      <w:r>
        <w:rPr>
          <w:rFonts w:ascii="Times New Roman" w:hAnsi="Times New Roman" w:cs="Times New Roman"/>
        </w:rPr>
        <w:t>对池塘养殖尾水、农田退水和黑臭河水体进行有效治理，实现“水动力提升、水生态修复、水污染治理”目标，重构稳定和长期有效的水体</w:t>
      </w:r>
      <w:r>
        <w:rPr>
          <w:rFonts w:hint="eastAsia" w:ascii="Times New Roman" w:hAnsi="Times New Roman" w:cs="Times New Roman"/>
        </w:rPr>
        <w:t>自净生态系统。目前已承接数万亩水面的养殖尾水治理项目，养殖品种包含：螃蟹，青虾，四大家鱼，泥鳅，南美白对虾，轮虫等，治理后均稳定达标排放。</w:t>
      </w:r>
    </w:p>
    <w:p w14:paraId="476042C6">
      <w:pPr>
        <w:rPr>
          <w:rFonts w:ascii="Times New Roman" w:hAnsi="Times New Roman" w:cs="Times New Roman"/>
        </w:rPr>
      </w:pPr>
      <w:r>
        <w:rPr>
          <w:rFonts w:hint="eastAsia" w:ascii="Times New Roman" w:hAnsi="Times New Roman" w:cs="Times New Roman"/>
        </w:rPr>
        <w:t>主要起草人：黄立平、冯杰、陈文文、江婷婷、魏锋、李伟科、孙麒、史武杰、朱民波、李娜娜、李昂，共11人。</w:t>
      </w:r>
    </w:p>
    <w:p w14:paraId="52EE6FCF">
      <w:pPr>
        <w:pStyle w:val="22"/>
        <w:spacing w:line="360" w:lineRule="auto"/>
        <w:rPr>
          <w:rFonts w:ascii="Times New Roman" w:hAnsi="Times New Roman" w:eastAsia="黑体"/>
          <w:b w:val="0"/>
          <w:bCs w:val="0"/>
          <w:sz w:val="24"/>
          <w:szCs w:val="28"/>
        </w:rPr>
      </w:pPr>
      <w:bookmarkStart w:id="6" w:name="_Toc186557542"/>
      <w:bookmarkStart w:id="7" w:name="_Toc170888042"/>
      <w:r>
        <w:rPr>
          <w:rFonts w:hint="eastAsia" w:ascii="Times New Roman" w:hAnsi="Times New Roman" w:eastAsia="黑体"/>
          <w:b w:val="0"/>
          <w:bCs w:val="0"/>
          <w:sz w:val="24"/>
          <w:szCs w:val="28"/>
        </w:rPr>
        <w:t>1.2 工作过程</w:t>
      </w:r>
      <w:bookmarkEnd w:id="6"/>
      <w:bookmarkEnd w:id="7"/>
    </w:p>
    <w:p w14:paraId="204435C9">
      <w:pPr>
        <w:rPr>
          <w:rFonts w:ascii="Times New Roman" w:hAnsi="Times New Roman"/>
        </w:rPr>
      </w:pPr>
      <w:r>
        <w:rPr>
          <w:rFonts w:hint="eastAsia" w:ascii="Times New Roman" w:hAnsi="Times New Roman"/>
        </w:rPr>
        <w:t>（1）</w:t>
      </w:r>
      <w:r>
        <w:rPr>
          <w:rFonts w:ascii="Times New Roman" w:hAnsi="Times New Roman"/>
        </w:rPr>
        <w:t>成立标准编制组</w:t>
      </w:r>
    </w:p>
    <w:p w14:paraId="73D034D6">
      <w:pPr>
        <w:rPr>
          <w:rFonts w:ascii="Times New Roman" w:hAnsi="Times New Roman"/>
        </w:rPr>
      </w:pPr>
      <w:r>
        <w:rPr>
          <w:rFonts w:ascii="Times New Roman" w:hAnsi="Times New Roman"/>
        </w:rPr>
        <w:t>接受任务后，</w:t>
      </w:r>
      <w:r>
        <w:rPr>
          <w:rFonts w:hint="eastAsia" w:ascii="Times New Roman" w:hAnsi="Times New Roman"/>
        </w:rPr>
        <w:t>南京万瑞环境科技有限公司组织相关技术团队</w:t>
      </w:r>
      <w:r>
        <w:rPr>
          <w:rFonts w:ascii="Times New Roman" w:hAnsi="Times New Roman"/>
        </w:rPr>
        <w:t>成立了标准编制组</w:t>
      </w:r>
      <w:r>
        <w:rPr>
          <w:rFonts w:hint="eastAsia" w:ascii="Times New Roman" w:hAnsi="Times New Roman"/>
        </w:rPr>
        <w:t>人（任务分工见表1）</w:t>
      </w:r>
      <w:r>
        <w:rPr>
          <w:rFonts w:ascii="Times New Roman" w:hAnsi="Times New Roman"/>
        </w:rPr>
        <w:t>，并研究标准制订背景、制定工作方案，部署研究工作。</w:t>
      </w:r>
    </w:p>
    <w:p w14:paraId="1587E743">
      <w:pPr>
        <w:spacing w:before="62" w:after="62" w:line="400" w:lineRule="exact"/>
        <w:ind w:firstLine="422"/>
        <w:jc w:val="center"/>
        <w:rPr>
          <w:rFonts w:ascii="Times New Roman" w:hAnsi="Times New Roman"/>
          <w:b/>
          <w:bCs/>
          <w:szCs w:val="21"/>
        </w:rPr>
      </w:pPr>
      <w:r>
        <w:rPr>
          <w:rFonts w:hint="eastAsia" w:ascii="Times New Roman" w:hAnsi="Times New Roman"/>
          <w:b/>
          <w:bCs/>
          <w:sz w:val="21"/>
          <w:szCs w:val="18"/>
        </w:rPr>
        <w:t>表1</w:t>
      </w:r>
      <w:r>
        <w:rPr>
          <w:rFonts w:ascii="Times New Roman" w:hAnsi="Times New Roman"/>
          <w:b/>
          <w:bCs/>
          <w:sz w:val="21"/>
          <w:szCs w:val="18"/>
        </w:rPr>
        <w:t xml:space="preserve"> </w:t>
      </w:r>
      <w:r>
        <w:rPr>
          <w:rFonts w:hint="eastAsia" w:ascii="Times New Roman" w:hAnsi="Times New Roman"/>
          <w:b/>
          <w:bCs/>
          <w:sz w:val="21"/>
          <w:szCs w:val="18"/>
        </w:rPr>
        <w:t>编制组人员任务分工</w:t>
      </w:r>
    </w:p>
    <w:tbl>
      <w:tblPr>
        <w:tblStyle w:val="10"/>
        <w:tblW w:w="9056" w:type="dxa"/>
        <w:jc w:val="center"/>
        <w:tblLayout w:type="fixed"/>
        <w:tblCellMar>
          <w:top w:w="0" w:type="dxa"/>
          <w:left w:w="108" w:type="dxa"/>
          <w:bottom w:w="0" w:type="dxa"/>
          <w:right w:w="108" w:type="dxa"/>
        </w:tblCellMar>
      </w:tblPr>
      <w:tblGrid>
        <w:gridCol w:w="743"/>
        <w:gridCol w:w="1300"/>
        <w:gridCol w:w="2800"/>
        <w:gridCol w:w="1651"/>
        <w:gridCol w:w="2562"/>
      </w:tblGrid>
      <w:tr w14:paraId="692BD182">
        <w:tblPrEx>
          <w:tblCellMar>
            <w:top w:w="0" w:type="dxa"/>
            <w:left w:w="108" w:type="dxa"/>
            <w:bottom w:w="0" w:type="dxa"/>
            <w:right w:w="108" w:type="dxa"/>
          </w:tblCellMar>
        </w:tblPrEx>
        <w:trPr>
          <w:trHeight w:val="583" w:hRule="atLeast"/>
          <w:jc w:val="center"/>
        </w:trPr>
        <w:tc>
          <w:tcPr>
            <w:tcW w:w="743" w:type="dxa"/>
            <w:tcBorders>
              <w:top w:val="single" w:color="000000" w:sz="4" w:space="0"/>
              <w:left w:val="single" w:color="000000" w:sz="4" w:space="0"/>
              <w:bottom w:val="single" w:color="000000" w:sz="4" w:space="0"/>
              <w:right w:val="nil"/>
            </w:tcBorders>
            <w:shd w:val="clear" w:color="auto" w:fill="auto"/>
            <w:vAlign w:val="center"/>
          </w:tcPr>
          <w:p w14:paraId="19BFB003">
            <w:pPr>
              <w:widowControl/>
              <w:ind w:firstLine="0" w:firstLineChars="0"/>
              <w:jc w:val="center"/>
              <w:textAlignment w:val="center"/>
              <w:rPr>
                <w:rFonts w:ascii="Times New Roman" w:hAnsi="Times New Roman"/>
                <w:b/>
                <w:bCs/>
                <w:color w:val="000000"/>
                <w:sz w:val="21"/>
                <w:szCs w:val="21"/>
                <w:lang w:bidi="ar"/>
              </w:rPr>
            </w:pPr>
            <w:r>
              <w:rPr>
                <w:rFonts w:ascii="Times New Roman" w:hAnsi="Times New Roman"/>
                <w:b/>
                <w:bCs/>
                <w:color w:val="000000"/>
                <w:sz w:val="21"/>
                <w:szCs w:val="21"/>
                <w:lang w:bidi="ar"/>
              </w:rPr>
              <w:t>序号</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01F2E">
            <w:pPr>
              <w:widowControl/>
              <w:ind w:firstLine="0" w:firstLineChars="0"/>
              <w:jc w:val="center"/>
              <w:textAlignment w:val="center"/>
              <w:rPr>
                <w:rFonts w:ascii="Times New Roman" w:hAnsi="Times New Roman"/>
                <w:b/>
                <w:bCs/>
                <w:color w:val="000000"/>
                <w:sz w:val="21"/>
                <w:szCs w:val="21"/>
                <w:lang w:bidi="ar"/>
              </w:rPr>
            </w:pPr>
            <w:r>
              <w:rPr>
                <w:rFonts w:ascii="Times New Roman" w:hAnsi="Times New Roman"/>
                <w:b/>
                <w:bCs/>
                <w:color w:val="000000"/>
                <w:sz w:val="21"/>
                <w:szCs w:val="21"/>
                <w:lang w:bidi="ar"/>
              </w:rPr>
              <w:t>姓名</w:t>
            </w:r>
          </w:p>
        </w:tc>
        <w:tc>
          <w:tcPr>
            <w:tcW w:w="2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91B79">
            <w:pPr>
              <w:widowControl/>
              <w:ind w:firstLine="422"/>
              <w:jc w:val="center"/>
              <w:textAlignment w:val="center"/>
              <w:rPr>
                <w:rFonts w:ascii="Times New Roman" w:hAnsi="Times New Roman"/>
                <w:b/>
                <w:bCs/>
                <w:color w:val="000000"/>
                <w:sz w:val="21"/>
                <w:szCs w:val="21"/>
                <w:lang w:bidi="ar"/>
              </w:rPr>
            </w:pPr>
            <w:r>
              <w:rPr>
                <w:rFonts w:ascii="Times New Roman" w:hAnsi="Times New Roman"/>
                <w:b/>
                <w:bCs/>
                <w:color w:val="000000"/>
                <w:sz w:val="21"/>
                <w:szCs w:val="21"/>
                <w:lang w:bidi="ar"/>
              </w:rPr>
              <w:t>单位名称</w:t>
            </w:r>
          </w:p>
        </w:tc>
        <w:tc>
          <w:tcPr>
            <w:tcW w:w="16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FE326">
            <w:pPr>
              <w:widowControl/>
              <w:ind w:firstLine="0" w:firstLineChars="0"/>
              <w:jc w:val="center"/>
              <w:textAlignment w:val="center"/>
              <w:rPr>
                <w:rFonts w:ascii="Times New Roman" w:hAnsi="Times New Roman"/>
                <w:b/>
                <w:bCs/>
                <w:color w:val="000000"/>
                <w:sz w:val="21"/>
                <w:szCs w:val="21"/>
                <w:lang w:bidi="ar"/>
              </w:rPr>
            </w:pPr>
            <w:r>
              <w:rPr>
                <w:rFonts w:ascii="Times New Roman" w:hAnsi="Times New Roman"/>
                <w:b/>
                <w:bCs/>
                <w:color w:val="000000"/>
                <w:sz w:val="21"/>
                <w:szCs w:val="21"/>
                <w:lang w:bidi="ar"/>
              </w:rPr>
              <w:t>职务/职称</w:t>
            </w:r>
          </w:p>
        </w:tc>
        <w:tc>
          <w:tcPr>
            <w:tcW w:w="2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9FBC0">
            <w:pPr>
              <w:widowControl/>
              <w:ind w:firstLine="422"/>
              <w:jc w:val="center"/>
              <w:textAlignment w:val="center"/>
              <w:rPr>
                <w:rFonts w:ascii="Times New Roman" w:hAnsi="Times New Roman"/>
                <w:b/>
                <w:bCs/>
                <w:color w:val="000000"/>
                <w:sz w:val="21"/>
                <w:szCs w:val="21"/>
                <w:lang w:bidi="ar"/>
              </w:rPr>
            </w:pPr>
            <w:r>
              <w:rPr>
                <w:rFonts w:ascii="Times New Roman" w:hAnsi="Times New Roman"/>
                <w:b/>
                <w:bCs/>
                <w:color w:val="000000"/>
                <w:sz w:val="21"/>
                <w:szCs w:val="21"/>
                <w:lang w:bidi="ar"/>
              </w:rPr>
              <w:t>项目分工</w:t>
            </w:r>
          </w:p>
        </w:tc>
      </w:tr>
      <w:tr w14:paraId="7196EAC1">
        <w:tblPrEx>
          <w:tblCellMar>
            <w:top w:w="0" w:type="dxa"/>
            <w:left w:w="108" w:type="dxa"/>
            <w:bottom w:w="0" w:type="dxa"/>
            <w:right w:w="108" w:type="dxa"/>
          </w:tblCellMar>
        </w:tblPrEx>
        <w:trPr>
          <w:trHeight w:val="90" w:hRule="atLeast"/>
          <w:jc w:val="center"/>
        </w:trPr>
        <w:tc>
          <w:tcPr>
            <w:tcW w:w="7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1637C">
            <w:pPr>
              <w:widowControl/>
              <w:ind w:firstLine="0" w:firstLineChars="0"/>
              <w:jc w:val="center"/>
              <w:textAlignment w:val="center"/>
              <w:rPr>
                <w:rFonts w:ascii="Times New Roman" w:hAnsi="Times New Roman"/>
                <w:b/>
                <w:bCs/>
                <w:color w:val="000000"/>
                <w:sz w:val="21"/>
                <w:szCs w:val="21"/>
                <w:lang w:bidi="ar"/>
              </w:rPr>
            </w:pPr>
            <w:r>
              <w:rPr>
                <w:rFonts w:hint="eastAsia" w:ascii="Times New Roman" w:hAnsi="Times New Roman"/>
                <w:b/>
                <w:bCs/>
                <w:color w:val="000000"/>
                <w:sz w:val="21"/>
                <w:szCs w:val="21"/>
                <w:lang w:bidi="ar"/>
              </w:rPr>
              <w:t>1</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25E2C">
            <w:pPr>
              <w:ind w:firstLine="0" w:firstLineChars="0"/>
              <w:jc w:val="center"/>
              <w:rPr>
                <w:rFonts w:ascii="Times New Roman" w:hAnsi="Times New Roman"/>
                <w:color w:val="000000"/>
                <w:sz w:val="21"/>
                <w:szCs w:val="21"/>
              </w:rPr>
            </w:pPr>
            <w:r>
              <w:rPr>
                <w:rFonts w:hint="eastAsia" w:ascii="Times New Roman" w:hAnsi="Times New Roman"/>
                <w:sz w:val="21"/>
                <w:szCs w:val="21"/>
              </w:rPr>
              <w:t>黄立平</w:t>
            </w:r>
          </w:p>
        </w:tc>
        <w:tc>
          <w:tcPr>
            <w:tcW w:w="2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37474">
            <w:pPr>
              <w:ind w:firstLine="0" w:firstLineChars="0"/>
              <w:jc w:val="center"/>
              <w:rPr>
                <w:rFonts w:ascii="Times New Roman" w:hAnsi="Times New Roman"/>
                <w:color w:val="000000"/>
                <w:sz w:val="21"/>
                <w:szCs w:val="21"/>
              </w:rPr>
            </w:pPr>
            <w:r>
              <w:rPr>
                <w:rFonts w:hint="eastAsia" w:ascii="Times New Roman" w:hAnsi="Times New Roman"/>
                <w:sz w:val="21"/>
                <w:szCs w:val="21"/>
              </w:rPr>
              <w:t>南京万瑞环境科技有限公司</w:t>
            </w:r>
          </w:p>
        </w:tc>
        <w:tc>
          <w:tcPr>
            <w:tcW w:w="16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7885D">
            <w:pPr>
              <w:ind w:firstLine="0" w:firstLineChars="0"/>
              <w:jc w:val="center"/>
              <w:rPr>
                <w:rFonts w:ascii="Times New Roman" w:hAnsi="Times New Roman"/>
                <w:color w:val="000000"/>
                <w:sz w:val="21"/>
                <w:szCs w:val="21"/>
              </w:rPr>
            </w:pPr>
            <w:r>
              <w:rPr>
                <w:rFonts w:hint="eastAsia" w:ascii="Times New Roman" w:hAnsi="Times New Roman"/>
                <w:sz w:val="21"/>
                <w:szCs w:val="21"/>
              </w:rPr>
              <w:t>工程师</w:t>
            </w:r>
          </w:p>
        </w:tc>
        <w:tc>
          <w:tcPr>
            <w:tcW w:w="2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74C4D">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标准编制总体规划、技术制定与编制</w:t>
            </w:r>
          </w:p>
        </w:tc>
      </w:tr>
      <w:tr w14:paraId="0757CF66">
        <w:tblPrEx>
          <w:tblCellMar>
            <w:top w:w="0" w:type="dxa"/>
            <w:left w:w="108" w:type="dxa"/>
            <w:bottom w:w="0" w:type="dxa"/>
            <w:right w:w="108" w:type="dxa"/>
          </w:tblCellMar>
        </w:tblPrEx>
        <w:trPr>
          <w:trHeight w:val="552" w:hRule="atLeast"/>
          <w:jc w:val="center"/>
        </w:trPr>
        <w:tc>
          <w:tcPr>
            <w:tcW w:w="7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8E493">
            <w:pPr>
              <w:widowControl/>
              <w:ind w:firstLine="0" w:firstLineChars="0"/>
              <w:jc w:val="center"/>
              <w:textAlignment w:val="center"/>
              <w:rPr>
                <w:rFonts w:ascii="Times New Roman" w:hAnsi="Times New Roman"/>
                <w:b/>
                <w:bCs/>
                <w:color w:val="000000"/>
                <w:sz w:val="21"/>
                <w:szCs w:val="21"/>
                <w:lang w:bidi="ar"/>
              </w:rPr>
            </w:pPr>
            <w:r>
              <w:rPr>
                <w:rFonts w:hint="eastAsia" w:ascii="Times New Roman" w:hAnsi="Times New Roman"/>
                <w:b/>
                <w:bCs/>
                <w:color w:val="000000"/>
                <w:sz w:val="21"/>
                <w:szCs w:val="21"/>
                <w:lang w:bidi="ar"/>
              </w:rPr>
              <w:t>2</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5BBFC">
            <w:pPr>
              <w:ind w:firstLine="0" w:firstLineChars="0"/>
              <w:jc w:val="center"/>
              <w:rPr>
                <w:rFonts w:ascii="Times New Roman" w:hAnsi="Times New Roman"/>
                <w:color w:val="000000"/>
                <w:sz w:val="21"/>
                <w:szCs w:val="21"/>
              </w:rPr>
            </w:pPr>
            <w:r>
              <w:rPr>
                <w:rFonts w:hint="eastAsia" w:ascii="Times New Roman" w:hAnsi="Times New Roman"/>
                <w:sz w:val="21"/>
                <w:szCs w:val="21"/>
              </w:rPr>
              <w:t>冯杰</w:t>
            </w:r>
          </w:p>
        </w:tc>
        <w:tc>
          <w:tcPr>
            <w:tcW w:w="2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9918D">
            <w:pPr>
              <w:ind w:firstLine="0" w:firstLineChars="0"/>
              <w:jc w:val="center"/>
              <w:rPr>
                <w:rFonts w:ascii="Times New Roman" w:hAnsi="Times New Roman"/>
                <w:color w:val="000000"/>
                <w:sz w:val="21"/>
                <w:szCs w:val="21"/>
              </w:rPr>
            </w:pPr>
            <w:r>
              <w:rPr>
                <w:rFonts w:hint="eastAsia" w:ascii="Times New Roman" w:hAnsi="Times New Roman"/>
                <w:sz w:val="21"/>
                <w:szCs w:val="21"/>
              </w:rPr>
              <w:t>南京万瑞环境科技有限公司</w:t>
            </w:r>
          </w:p>
        </w:tc>
        <w:tc>
          <w:tcPr>
            <w:tcW w:w="16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1DAB7">
            <w:pPr>
              <w:ind w:firstLine="0" w:firstLineChars="0"/>
              <w:jc w:val="center"/>
              <w:rPr>
                <w:rFonts w:ascii="Times New Roman" w:hAnsi="Times New Roman"/>
                <w:color w:val="000000"/>
                <w:sz w:val="21"/>
                <w:szCs w:val="21"/>
              </w:rPr>
            </w:pPr>
            <w:r>
              <w:rPr>
                <w:rFonts w:hint="eastAsia" w:ascii="Times New Roman" w:hAnsi="Times New Roman"/>
                <w:sz w:val="21"/>
                <w:szCs w:val="21"/>
              </w:rPr>
              <w:t>工程师</w:t>
            </w:r>
          </w:p>
        </w:tc>
        <w:tc>
          <w:tcPr>
            <w:tcW w:w="2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06823">
            <w:pPr>
              <w:ind w:firstLine="0" w:firstLineChars="0"/>
              <w:jc w:val="center"/>
              <w:rPr>
                <w:rFonts w:ascii="Times New Roman" w:hAnsi="Times New Roman"/>
                <w:color w:val="000000"/>
                <w:sz w:val="21"/>
                <w:szCs w:val="21"/>
              </w:rPr>
            </w:pPr>
            <w:r>
              <w:rPr>
                <w:rFonts w:hint="eastAsia" w:ascii="Times New Roman" w:hAnsi="Times New Roman"/>
                <w:sz w:val="21"/>
                <w:szCs w:val="21"/>
              </w:rPr>
              <w:t>政策指导、统筹协调</w:t>
            </w:r>
          </w:p>
        </w:tc>
      </w:tr>
      <w:tr w14:paraId="0217327D">
        <w:tblPrEx>
          <w:tblCellMar>
            <w:top w:w="0" w:type="dxa"/>
            <w:left w:w="108" w:type="dxa"/>
            <w:bottom w:w="0" w:type="dxa"/>
            <w:right w:w="108" w:type="dxa"/>
          </w:tblCellMar>
        </w:tblPrEx>
        <w:trPr>
          <w:trHeight w:val="552" w:hRule="atLeast"/>
          <w:jc w:val="center"/>
        </w:trPr>
        <w:tc>
          <w:tcPr>
            <w:tcW w:w="7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C36DF">
            <w:pPr>
              <w:widowControl/>
              <w:ind w:firstLine="0" w:firstLineChars="0"/>
              <w:jc w:val="center"/>
              <w:textAlignment w:val="center"/>
              <w:rPr>
                <w:rFonts w:ascii="Times New Roman" w:hAnsi="Times New Roman"/>
                <w:b/>
                <w:bCs/>
                <w:color w:val="000000"/>
                <w:sz w:val="21"/>
                <w:szCs w:val="21"/>
                <w:lang w:bidi="ar"/>
              </w:rPr>
            </w:pPr>
            <w:r>
              <w:rPr>
                <w:rFonts w:hint="eastAsia" w:ascii="Times New Roman" w:hAnsi="Times New Roman"/>
                <w:b/>
                <w:bCs/>
                <w:color w:val="000000"/>
                <w:sz w:val="21"/>
                <w:szCs w:val="21"/>
                <w:lang w:bidi="ar"/>
              </w:rPr>
              <w:t>3</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1F968">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陈文文</w:t>
            </w:r>
          </w:p>
        </w:tc>
        <w:tc>
          <w:tcPr>
            <w:tcW w:w="2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9CFF0">
            <w:pPr>
              <w:ind w:firstLine="0" w:firstLineChars="0"/>
              <w:jc w:val="center"/>
              <w:rPr>
                <w:rFonts w:ascii="Times New Roman" w:hAnsi="Times New Roman"/>
                <w:color w:val="000000"/>
                <w:sz w:val="21"/>
                <w:szCs w:val="21"/>
              </w:rPr>
            </w:pPr>
            <w:r>
              <w:rPr>
                <w:rFonts w:hint="eastAsia" w:ascii="Times New Roman" w:hAnsi="Times New Roman"/>
                <w:sz w:val="21"/>
                <w:szCs w:val="21"/>
              </w:rPr>
              <w:t>南京万瑞环境科技有限公司</w:t>
            </w:r>
          </w:p>
        </w:tc>
        <w:tc>
          <w:tcPr>
            <w:tcW w:w="16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B1D21">
            <w:pPr>
              <w:ind w:firstLine="0" w:firstLineChars="0"/>
              <w:jc w:val="center"/>
              <w:rPr>
                <w:rFonts w:ascii="Times New Roman" w:hAnsi="Times New Roman"/>
                <w:color w:val="000000"/>
                <w:sz w:val="21"/>
                <w:szCs w:val="21"/>
              </w:rPr>
            </w:pPr>
            <w:r>
              <w:rPr>
                <w:rFonts w:hint="eastAsia" w:ascii="Times New Roman" w:hAnsi="Times New Roman"/>
                <w:sz w:val="21"/>
                <w:szCs w:val="21"/>
              </w:rPr>
              <w:t>工程师</w:t>
            </w:r>
          </w:p>
        </w:tc>
        <w:tc>
          <w:tcPr>
            <w:tcW w:w="2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9470B">
            <w:pPr>
              <w:ind w:firstLine="0" w:firstLineChars="0"/>
              <w:jc w:val="center"/>
              <w:rPr>
                <w:rFonts w:ascii="Times New Roman" w:hAnsi="Times New Roman"/>
                <w:color w:val="000000"/>
                <w:sz w:val="21"/>
                <w:szCs w:val="21"/>
              </w:rPr>
            </w:pPr>
            <w:r>
              <w:rPr>
                <w:rFonts w:hint="eastAsia" w:ascii="Times New Roman" w:hAnsi="Times New Roman"/>
                <w:sz w:val="21"/>
                <w:szCs w:val="21"/>
              </w:rPr>
              <w:t>标准编制</w:t>
            </w:r>
          </w:p>
        </w:tc>
      </w:tr>
      <w:tr w14:paraId="69417331">
        <w:tblPrEx>
          <w:tblCellMar>
            <w:top w:w="0" w:type="dxa"/>
            <w:left w:w="108" w:type="dxa"/>
            <w:bottom w:w="0" w:type="dxa"/>
            <w:right w:w="108" w:type="dxa"/>
          </w:tblCellMar>
        </w:tblPrEx>
        <w:trPr>
          <w:trHeight w:val="552" w:hRule="atLeast"/>
          <w:jc w:val="center"/>
        </w:trPr>
        <w:tc>
          <w:tcPr>
            <w:tcW w:w="7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88F72">
            <w:pPr>
              <w:widowControl/>
              <w:ind w:firstLine="0" w:firstLineChars="0"/>
              <w:jc w:val="center"/>
              <w:textAlignment w:val="center"/>
              <w:rPr>
                <w:rFonts w:ascii="Times New Roman" w:hAnsi="Times New Roman"/>
                <w:b/>
                <w:bCs/>
                <w:color w:val="000000"/>
                <w:sz w:val="21"/>
                <w:szCs w:val="21"/>
                <w:lang w:bidi="ar"/>
              </w:rPr>
            </w:pPr>
            <w:r>
              <w:rPr>
                <w:rFonts w:hint="eastAsia" w:ascii="Times New Roman" w:hAnsi="Times New Roman"/>
                <w:b/>
                <w:bCs/>
                <w:color w:val="000000"/>
                <w:sz w:val="21"/>
                <w:szCs w:val="21"/>
                <w:lang w:bidi="ar"/>
              </w:rPr>
              <w:t>4</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3DE6F">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江婷婷</w:t>
            </w:r>
          </w:p>
        </w:tc>
        <w:tc>
          <w:tcPr>
            <w:tcW w:w="2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926E3">
            <w:pPr>
              <w:ind w:firstLine="0" w:firstLineChars="0"/>
              <w:jc w:val="center"/>
              <w:rPr>
                <w:rFonts w:ascii="Times New Roman" w:hAnsi="Times New Roman"/>
                <w:sz w:val="21"/>
                <w:szCs w:val="21"/>
              </w:rPr>
            </w:pPr>
            <w:r>
              <w:rPr>
                <w:rFonts w:hint="eastAsia" w:ascii="Times New Roman" w:hAnsi="Times New Roman"/>
                <w:sz w:val="21"/>
                <w:szCs w:val="21"/>
              </w:rPr>
              <w:t>南京万瑞环境科技有限公司</w:t>
            </w:r>
          </w:p>
        </w:tc>
        <w:tc>
          <w:tcPr>
            <w:tcW w:w="16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58EC9">
            <w:pPr>
              <w:ind w:firstLine="0" w:firstLineChars="0"/>
              <w:jc w:val="center"/>
              <w:rPr>
                <w:rFonts w:ascii="Times New Roman" w:hAnsi="Times New Roman"/>
                <w:sz w:val="21"/>
                <w:szCs w:val="21"/>
              </w:rPr>
            </w:pPr>
            <w:r>
              <w:rPr>
                <w:rFonts w:hint="eastAsia" w:ascii="Times New Roman" w:hAnsi="Times New Roman"/>
                <w:sz w:val="21"/>
                <w:szCs w:val="21"/>
              </w:rPr>
              <w:t>常务副总</w:t>
            </w:r>
          </w:p>
        </w:tc>
        <w:tc>
          <w:tcPr>
            <w:tcW w:w="2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370F6">
            <w:pPr>
              <w:ind w:firstLine="0" w:firstLineChars="0"/>
              <w:jc w:val="center"/>
              <w:rPr>
                <w:rFonts w:ascii="Times New Roman" w:hAnsi="Times New Roman"/>
                <w:sz w:val="21"/>
                <w:szCs w:val="21"/>
              </w:rPr>
            </w:pPr>
            <w:r>
              <w:rPr>
                <w:rFonts w:hint="eastAsia" w:ascii="Times New Roman" w:hAnsi="Times New Roman"/>
                <w:sz w:val="21"/>
                <w:szCs w:val="21"/>
              </w:rPr>
              <w:t>政策指导、统筹协调</w:t>
            </w:r>
          </w:p>
        </w:tc>
      </w:tr>
      <w:tr w14:paraId="26F8880B">
        <w:tblPrEx>
          <w:tblCellMar>
            <w:top w:w="0" w:type="dxa"/>
            <w:left w:w="108" w:type="dxa"/>
            <w:bottom w:w="0" w:type="dxa"/>
            <w:right w:w="108" w:type="dxa"/>
          </w:tblCellMar>
        </w:tblPrEx>
        <w:trPr>
          <w:trHeight w:val="552" w:hRule="atLeast"/>
          <w:jc w:val="center"/>
        </w:trPr>
        <w:tc>
          <w:tcPr>
            <w:tcW w:w="7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D1950">
            <w:pPr>
              <w:ind w:firstLine="0" w:firstLineChars="0"/>
              <w:jc w:val="center"/>
              <w:rPr>
                <w:rFonts w:ascii="Times New Roman" w:hAnsi="Times New Roman"/>
                <w:b/>
                <w:bCs/>
                <w:color w:val="000000"/>
                <w:sz w:val="21"/>
                <w:szCs w:val="21"/>
                <w:lang w:bidi="ar"/>
              </w:rPr>
            </w:pPr>
            <w:r>
              <w:rPr>
                <w:rFonts w:hint="eastAsia" w:ascii="Times New Roman" w:hAnsi="Times New Roman"/>
                <w:b/>
                <w:bCs/>
                <w:color w:val="000000"/>
                <w:sz w:val="21"/>
                <w:szCs w:val="21"/>
                <w:lang w:bidi="ar"/>
              </w:rPr>
              <w:t>5</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0C4DD">
            <w:pPr>
              <w:ind w:firstLine="0" w:firstLineChars="0"/>
              <w:jc w:val="center"/>
              <w:rPr>
                <w:rFonts w:ascii="Times New Roman" w:hAnsi="Times New Roman"/>
                <w:color w:val="000000"/>
                <w:sz w:val="21"/>
                <w:szCs w:val="21"/>
              </w:rPr>
            </w:pPr>
            <w:r>
              <w:rPr>
                <w:rFonts w:hint="eastAsia" w:ascii="Times New Roman" w:hAnsi="Times New Roman"/>
                <w:sz w:val="21"/>
                <w:szCs w:val="21"/>
              </w:rPr>
              <w:t>魏锋</w:t>
            </w:r>
          </w:p>
        </w:tc>
        <w:tc>
          <w:tcPr>
            <w:tcW w:w="2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D31F9">
            <w:pPr>
              <w:ind w:firstLine="0" w:firstLineChars="0"/>
              <w:jc w:val="center"/>
              <w:rPr>
                <w:rFonts w:ascii="Times New Roman" w:hAnsi="Times New Roman"/>
                <w:color w:val="000000"/>
                <w:sz w:val="21"/>
                <w:szCs w:val="21"/>
              </w:rPr>
            </w:pPr>
            <w:r>
              <w:rPr>
                <w:rFonts w:hint="eastAsia" w:ascii="Times New Roman" w:hAnsi="Times New Roman"/>
                <w:sz w:val="21"/>
                <w:szCs w:val="21"/>
              </w:rPr>
              <w:t>南京万瑞环境科技有限公司</w:t>
            </w:r>
          </w:p>
        </w:tc>
        <w:tc>
          <w:tcPr>
            <w:tcW w:w="16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2CF37">
            <w:pPr>
              <w:ind w:firstLine="0" w:firstLineChars="0"/>
              <w:jc w:val="center"/>
              <w:rPr>
                <w:rFonts w:ascii="Times New Roman" w:hAnsi="Times New Roman"/>
                <w:color w:val="000000"/>
                <w:sz w:val="21"/>
                <w:szCs w:val="21"/>
              </w:rPr>
            </w:pPr>
            <w:r>
              <w:rPr>
                <w:rFonts w:hint="eastAsia" w:ascii="Times New Roman" w:hAnsi="Times New Roman"/>
                <w:sz w:val="21"/>
                <w:szCs w:val="21"/>
              </w:rPr>
              <w:t>总工</w:t>
            </w:r>
          </w:p>
        </w:tc>
        <w:tc>
          <w:tcPr>
            <w:tcW w:w="2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41579">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标准技术编制</w:t>
            </w:r>
          </w:p>
        </w:tc>
      </w:tr>
      <w:tr w14:paraId="1EBA5B6C">
        <w:tblPrEx>
          <w:tblCellMar>
            <w:top w:w="0" w:type="dxa"/>
            <w:left w:w="108" w:type="dxa"/>
            <w:bottom w:w="0" w:type="dxa"/>
            <w:right w:w="108" w:type="dxa"/>
          </w:tblCellMar>
        </w:tblPrEx>
        <w:trPr>
          <w:trHeight w:val="552" w:hRule="atLeast"/>
          <w:jc w:val="center"/>
        </w:trPr>
        <w:tc>
          <w:tcPr>
            <w:tcW w:w="7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7E1FE">
            <w:pPr>
              <w:ind w:firstLine="0" w:firstLineChars="0"/>
              <w:jc w:val="center"/>
              <w:rPr>
                <w:rFonts w:ascii="Times New Roman" w:hAnsi="Times New Roman"/>
                <w:b/>
                <w:bCs/>
                <w:color w:val="000000"/>
                <w:sz w:val="21"/>
                <w:szCs w:val="21"/>
                <w:lang w:bidi="ar"/>
              </w:rPr>
            </w:pPr>
            <w:r>
              <w:rPr>
                <w:rFonts w:hint="eastAsia" w:ascii="Times New Roman" w:hAnsi="Times New Roman"/>
                <w:b/>
                <w:bCs/>
                <w:color w:val="000000"/>
                <w:sz w:val="21"/>
                <w:szCs w:val="21"/>
                <w:lang w:bidi="ar"/>
              </w:rPr>
              <w:t>6</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59881">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李伟科</w:t>
            </w:r>
          </w:p>
        </w:tc>
        <w:tc>
          <w:tcPr>
            <w:tcW w:w="2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84E6D">
            <w:pPr>
              <w:ind w:firstLine="0" w:firstLineChars="0"/>
              <w:jc w:val="center"/>
              <w:rPr>
                <w:rFonts w:ascii="Times New Roman" w:hAnsi="Times New Roman"/>
                <w:color w:val="000000"/>
                <w:sz w:val="21"/>
                <w:szCs w:val="21"/>
              </w:rPr>
            </w:pPr>
            <w:r>
              <w:rPr>
                <w:rFonts w:hint="eastAsia" w:ascii="Times New Roman" w:hAnsi="Times New Roman"/>
                <w:sz w:val="21"/>
                <w:szCs w:val="21"/>
              </w:rPr>
              <w:t>南京万瑞环境科技有限公司</w:t>
            </w:r>
          </w:p>
        </w:tc>
        <w:tc>
          <w:tcPr>
            <w:tcW w:w="16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582F6">
            <w:pPr>
              <w:ind w:firstLine="0" w:firstLineChars="0"/>
              <w:jc w:val="center"/>
              <w:rPr>
                <w:rFonts w:ascii="Times New Roman" w:hAnsi="Times New Roman"/>
                <w:color w:val="000000"/>
                <w:sz w:val="21"/>
                <w:szCs w:val="21"/>
              </w:rPr>
            </w:pPr>
            <w:r>
              <w:rPr>
                <w:rFonts w:hint="eastAsia" w:ascii="Times New Roman" w:hAnsi="Times New Roman"/>
                <w:sz w:val="21"/>
                <w:szCs w:val="21"/>
              </w:rPr>
              <w:t>工程师</w:t>
            </w:r>
          </w:p>
        </w:tc>
        <w:tc>
          <w:tcPr>
            <w:tcW w:w="2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E0FA2">
            <w:pPr>
              <w:ind w:firstLine="0" w:firstLineChars="0"/>
              <w:jc w:val="center"/>
              <w:rPr>
                <w:rFonts w:ascii="Times New Roman" w:hAnsi="Times New Roman"/>
                <w:color w:val="000000"/>
                <w:sz w:val="21"/>
                <w:szCs w:val="21"/>
              </w:rPr>
            </w:pPr>
            <w:r>
              <w:rPr>
                <w:rFonts w:hint="eastAsia" w:ascii="Times New Roman" w:hAnsi="Times New Roman"/>
                <w:sz w:val="21"/>
                <w:szCs w:val="21"/>
              </w:rPr>
              <w:t>标准技术编制</w:t>
            </w:r>
          </w:p>
        </w:tc>
      </w:tr>
      <w:tr w14:paraId="7FB930EF">
        <w:tblPrEx>
          <w:tblCellMar>
            <w:top w:w="0" w:type="dxa"/>
            <w:left w:w="108" w:type="dxa"/>
            <w:bottom w:w="0" w:type="dxa"/>
            <w:right w:w="108" w:type="dxa"/>
          </w:tblCellMar>
        </w:tblPrEx>
        <w:trPr>
          <w:trHeight w:val="552" w:hRule="atLeast"/>
          <w:jc w:val="center"/>
        </w:trPr>
        <w:tc>
          <w:tcPr>
            <w:tcW w:w="7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20018">
            <w:pPr>
              <w:ind w:firstLine="0" w:firstLineChars="0"/>
              <w:jc w:val="center"/>
              <w:rPr>
                <w:rFonts w:ascii="Times New Roman" w:hAnsi="Times New Roman"/>
                <w:b/>
                <w:bCs/>
                <w:color w:val="000000"/>
                <w:sz w:val="21"/>
                <w:szCs w:val="21"/>
                <w:lang w:bidi="ar"/>
              </w:rPr>
            </w:pPr>
            <w:r>
              <w:rPr>
                <w:rFonts w:hint="eastAsia" w:ascii="Times New Roman" w:hAnsi="Times New Roman"/>
                <w:b/>
                <w:bCs/>
                <w:color w:val="000000"/>
                <w:sz w:val="21"/>
                <w:szCs w:val="21"/>
                <w:lang w:bidi="ar"/>
              </w:rPr>
              <w:t>7</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A8BF5">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孙麒</w:t>
            </w:r>
          </w:p>
        </w:tc>
        <w:tc>
          <w:tcPr>
            <w:tcW w:w="2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81DEF">
            <w:pPr>
              <w:ind w:firstLine="0" w:firstLineChars="0"/>
              <w:jc w:val="center"/>
              <w:rPr>
                <w:rFonts w:ascii="Times New Roman" w:hAnsi="Times New Roman"/>
                <w:sz w:val="21"/>
                <w:szCs w:val="21"/>
              </w:rPr>
            </w:pPr>
            <w:r>
              <w:rPr>
                <w:rFonts w:hint="eastAsia" w:ascii="Times New Roman" w:hAnsi="Times New Roman"/>
                <w:sz w:val="21"/>
                <w:szCs w:val="21"/>
              </w:rPr>
              <w:t>南京万瑞环境科技有限公司</w:t>
            </w:r>
          </w:p>
        </w:tc>
        <w:tc>
          <w:tcPr>
            <w:tcW w:w="16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10AD4">
            <w:pPr>
              <w:ind w:firstLine="0" w:firstLineChars="0"/>
              <w:jc w:val="center"/>
              <w:rPr>
                <w:rFonts w:ascii="Times New Roman" w:hAnsi="Times New Roman"/>
                <w:sz w:val="21"/>
                <w:szCs w:val="21"/>
              </w:rPr>
            </w:pPr>
            <w:r>
              <w:rPr>
                <w:rFonts w:hint="eastAsia" w:ascii="Times New Roman" w:hAnsi="Times New Roman"/>
                <w:sz w:val="21"/>
                <w:szCs w:val="21"/>
              </w:rPr>
              <w:t>工程师</w:t>
            </w:r>
          </w:p>
        </w:tc>
        <w:tc>
          <w:tcPr>
            <w:tcW w:w="2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938EA">
            <w:pPr>
              <w:ind w:firstLine="0" w:firstLineChars="0"/>
              <w:jc w:val="center"/>
              <w:rPr>
                <w:rFonts w:ascii="Times New Roman" w:hAnsi="Times New Roman"/>
                <w:sz w:val="21"/>
                <w:szCs w:val="21"/>
              </w:rPr>
            </w:pPr>
            <w:r>
              <w:rPr>
                <w:rFonts w:hint="eastAsia" w:ascii="Times New Roman" w:hAnsi="Times New Roman"/>
                <w:sz w:val="21"/>
                <w:szCs w:val="21"/>
              </w:rPr>
              <w:t>标准技术编制</w:t>
            </w:r>
          </w:p>
        </w:tc>
      </w:tr>
      <w:tr w14:paraId="7385A217">
        <w:tblPrEx>
          <w:tblCellMar>
            <w:top w:w="0" w:type="dxa"/>
            <w:left w:w="108" w:type="dxa"/>
            <w:bottom w:w="0" w:type="dxa"/>
            <w:right w:w="108" w:type="dxa"/>
          </w:tblCellMar>
        </w:tblPrEx>
        <w:trPr>
          <w:trHeight w:val="552" w:hRule="atLeast"/>
          <w:jc w:val="center"/>
        </w:trPr>
        <w:tc>
          <w:tcPr>
            <w:tcW w:w="7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74F69">
            <w:pPr>
              <w:ind w:firstLine="0" w:firstLineChars="0"/>
              <w:jc w:val="center"/>
              <w:rPr>
                <w:rFonts w:ascii="Times New Roman" w:hAnsi="Times New Roman"/>
                <w:b/>
                <w:bCs/>
                <w:color w:val="000000"/>
                <w:sz w:val="21"/>
                <w:szCs w:val="21"/>
                <w:lang w:bidi="ar"/>
              </w:rPr>
            </w:pPr>
            <w:r>
              <w:rPr>
                <w:rFonts w:hint="eastAsia" w:ascii="Times New Roman" w:hAnsi="Times New Roman"/>
                <w:b/>
                <w:bCs/>
                <w:color w:val="000000"/>
                <w:sz w:val="21"/>
                <w:szCs w:val="21"/>
                <w:lang w:bidi="ar"/>
              </w:rPr>
              <w:t>8</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E6276">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史武杰</w:t>
            </w:r>
          </w:p>
        </w:tc>
        <w:tc>
          <w:tcPr>
            <w:tcW w:w="2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41153">
            <w:pPr>
              <w:ind w:firstLine="0" w:firstLineChars="0"/>
              <w:jc w:val="center"/>
              <w:rPr>
                <w:rFonts w:ascii="Times New Roman" w:hAnsi="Times New Roman"/>
                <w:color w:val="000000"/>
                <w:sz w:val="21"/>
                <w:szCs w:val="21"/>
              </w:rPr>
            </w:pPr>
            <w:r>
              <w:rPr>
                <w:rFonts w:hint="eastAsia" w:ascii="Times New Roman" w:hAnsi="Times New Roman"/>
                <w:sz w:val="21"/>
                <w:szCs w:val="21"/>
              </w:rPr>
              <w:t>南京万瑞环境科技有限公司</w:t>
            </w:r>
          </w:p>
        </w:tc>
        <w:tc>
          <w:tcPr>
            <w:tcW w:w="16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9696E">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工程师</w:t>
            </w:r>
          </w:p>
        </w:tc>
        <w:tc>
          <w:tcPr>
            <w:tcW w:w="2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E775B">
            <w:pPr>
              <w:ind w:firstLine="0" w:firstLineChars="0"/>
              <w:jc w:val="center"/>
              <w:rPr>
                <w:rFonts w:ascii="Times New Roman" w:hAnsi="Times New Roman"/>
                <w:color w:val="000000"/>
                <w:sz w:val="21"/>
                <w:szCs w:val="21"/>
              </w:rPr>
            </w:pPr>
            <w:r>
              <w:rPr>
                <w:rFonts w:hint="eastAsia" w:ascii="Times New Roman" w:hAnsi="Times New Roman"/>
                <w:sz w:val="21"/>
                <w:szCs w:val="21"/>
              </w:rPr>
              <w:t>标准技术编制</w:t>
            </w:r>
          </w:p>
        </w:tc>
      </w:tr>
      <w:tr w14:paraId="09D54822">
        <w:tblPrEx>
          <w:tblCellMar>
            <w:top w:w="0" w:type="dxa"/>
            <w:left w:w="108" w:type="dxa"/>
            <w:bottom w:w="0" w:type="dxa"/>
            <w:right w:w="108" w:type="dxa"/>
          </w:tblCellMar>
        </w:tblPrEx>
        <w:trPr>
          <w:trHeight w:val="552" w:hRule="atLeast"/>
          <w:jc w:val="center"/>
        </w:trPr>
        <w:tc>
          <w:tcPr>
            <w:tcW w:w="7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849DC">
            <w:pPr>
              <w:ind w:firstLine="0" w:firstLineChars="0"/>
              <w:jc w:val="center"/>
              <w:rPr>
                <w:rFonts w:ascii="Times New Roman" w:hAnsi="Times New Roman"/>
                <w:b/>
                <w:bCs/>
                <w:color w:val="000000"/>
                <w:sz w:val="21"/>
                <w:szCs w:val="21"/>
                <w:lang w:bidi="ar"/>
              </w:rPr>
            </w:pPr>
            <w:r>
              <w:rPr>
                <w:rFonts w:hint="eastAsia" w:ascii="Times New Roman" w:hAnsi="Times New Roman"/>
                <w:b/>
                <w:bCs/>
                <w:color w:val="000000"/>
                <w:sz w:val="21"/>
                <w:szCs w:val="21"/>
                <w:lang w:bidi="ar"/>
              </w:rPr>
              <w:t>9</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6605B">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朱民波</w:t>
            </w:r>
          </w:p>
        </w:tc>
        <w:tc>
          <w:tcPr>
            <w:tcW w:w="2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B37F6">
            <w:pPr>
              <w:ind w:firstLine="0" w:firstLineChars="0"/>
              <w:jc w:val="center"/>
              <w:rPr>
                <w:rFonts w:ascii="Times New Roman" w:hAnsi="Times New Roman"/>
                <w:color w:val="000000"/>
                <w:sz w:val="21"/>
                <w:szCs w:val="21"/>
              </w:rPr>
            </w:pPr>
            <w:r>
              <w:rPr>
                <w:rFonts w:hint="eastAsia" w:ascii="Times New Roman" w:hAnsi="Times New Roman"/>
                <w:sz w:val="21"/>
                <w:szCs w:val="21"/>
              </w:rPr>
              <w:t>南京万瑞环境科技有限公司</w:t>
            </w:r>
          </w:p>
        </w:tc>
        <w:tc>
          <w:tcPr>
            <w:tcW w:w="16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E94FC">
            <w:pPr>
              <w:ind w:firstLine="0" w:firstLineChars="0"/>
              <w:jc w:val="center"/>
              <w:rPr>
                <w:rFonts w:ascii="Times New Roman" w:hAnsi="Times New Roman"/>
                <w:color w:val="000000"/>
                <w:sz w:val="21"/>
                <w:szCs w:val="21"/>
              </w:rPr>
            </w:pPr>
            <w:r>
              <w:rPr>
                <w:rFonts w:hint="eastAsia" w:ascii="Times New Roman" w:hAnsi="Times New Roman"/>
                <w:sz w:val="21"/>
                <w:szCs w:val="21"/>
              </w:rPr>
              <w:t>建造师</w:t>
            </w:r>
          </w:p>
        </w:tc>
        <w:tc>
          <w:tcPr>
            <w:tcW w:w="2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65F5D">
            <w:pPr>
              <w:ind w:firstLine="0" w:firstLineChars="0"/>
              <w:jc w:val="center"/>
              <w:rPr>
                <w:rFonts w:ascii="Times New Roman" w:hAnsi="Times New Roman"/>
                <w:color w:val="000000"/>
                <w:sz w:val="21"/>
                <w:szCs w:val="21"/>
              </w:rPr>
            </w:pPr>
            <w:r>
              <w:rPr>
                <w:rFonts w:hint="eastAsia" w:ascii="Times New Roman" w:hAnsi="Times New Roman"/>
                <w:sz w:val="21"/>
                <w:szCs w:val="21"/>
              </w:rPr>
              <w:t>标准技术编制</w:t>
            </w:r>
          </w:p>
        </w:tc>
      </w:tr>
      <w:tr w14:paraId="662C7A9A">
        <w:tblPrEx>
          <w:tblCellMar>
            <w:top w:w="0" w:type="dxa"/>
            <w:left w:w="108" w:type="dxa"/>
            <w:bottom w:w="0" w:type="dxa"/>
            <w:right w:w="108" w:type="dxa"/>
          </w:tblCellMar>
        </w:tblPrEx>
        <w:trPr>
          <w:trHeight w:val="552" w:hRule="atLeast"/>
          <w:jc w:val="center"/>
        </w:trPr>
        <w:tc>
          <w:tcPr>
            <w:tcW w:w="7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CEF8E">
            <w:pPr>
              <w:ind w:firstLine="0" w:firstLineChars="0"/>
              <w:jc w:val="center"/>
              <w:rPr>
                <w:rFonts w:ascii="Times New Roman" w:hAnsi="Times New Roman"/>
                <w:b/>
                <w:bCs/>
                <w:color w:val="000000"/>
                <w:sz w:val="21"/>
                <w:szCs w:val="21"/>
                <w:lang w:bidi="ar"/>
              </w:rPr>
            </w:pPr>
            <w:r>
              <w:rPr>
                <w:rFonts w:hint="eastAsia" w:ascii="Times New Roman" w:hAnsi="Times New Roman"/>
                <w:b/>
                <w:bCs/>
                <w:color w:val="000000"/>
                <w:sz w:val="21"/>
                <w:szCs w:val="21"/>
                <w:lang w:bidi="ar"/>
              </w:rPr>
              <w:t>10</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F050E">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李娜娜</w:t>
            </w:r>
          </w:p>
        </w:tc>
        <w:tc>
          <w:tcPr>
            <w:tcW w:w="2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1EE90">
            <w:pPr>
              <w:ind w:firstLine="0" w:firstLineChars="0"/>
              <w:jc w:val="center"/>
              <w:rPr>
                <w:rFonts w:ascii="Times New Roman" w:hAnsi="Times New Roman"/>
                <w:color w:val="000000"/>
                <w:sz w:val="21"/>
                <w:szCs w:val="21"/>
              </w:rPr>
            </w:pPr>
            <w:r>
              <w:rPr>
                <w:rFonts w:hint="eastAsia" w:ascii="Times New Roman" w:hAnsi="Times New Roman"/>
                <w:sz w:val="21"/>
                <w:szCs w:val="21"/>
              </w:rPr>
              <w:t>南京万瑞环境科技有限公司</w:t>
            </w:r>
          </w:p>
        </w:tc>
        <w:tc>
          <w:tcPr>
            <w:tcW w:w="16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9C32F">
            <w:pPr>
              <w:ind w:firstLine="0" w:firstLineChars="0"/>
              <w:jc w:val="center"/>
              <w:rPr>
                <w:rFonts w:ascii="Times New Roman" w:hAnsi="Times New Roman"/>
                <w:sz w:val="21"/>
                <w:szCs w:val="21"/>
              </w:rPr>
            </w:pPr>
            <w:r>
              <w:rPr>
                <w:rFonts w:hint="eastAsia" w:ascii="Times New Roman" w:hAnsi="Times New Roman"/>
                <w:sz w:val="21"/>
                <w:szCs w:val="21"/>
              </w:rPr>
              <w:t>研究实习员</w:t>
            </w:r>
          </w:p>
        </w:tc>
        <w:tc>
          <w:tcPr>
            <w:tcW w:w="2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1B6BE">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技术参数调研与验证</w:t>
            </w:r>
          </w:p>
        </w:tc>
      </w:tr>
      <w:tr w14:paraId="013831E9">
        <w:tblPrEx>
          <w:tblCellMar>
            <w:top w:w="0" w:type="dxa"/>
            <w:left w:w="108" w:type="dxa"/>
            <w:bottom w:w="0" w:type="dxa"/>
            <w:right w:w="108" w:type="dxa"/>
          </w:tblCellMar>
        </w:tblPrEx>
        <w:trPr>
          <w:trHeight w:val="552" w:hRule="atLeast"/>
          <w:jc w:val="center"/>
        </w:trPr>
        <w:tc>
          <w:tcPr>
            <w:tcW w:w="7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84F25">
            <w:pPr>
              <w:ind w:firstLine="0" w:firstLineChars="0"/>
              <w:jc w:val="center"/>
              <w:rPr>
                <w:rFonts w:ascii="Times New Roman" w:hAnsi="Times New Roman"/>
                <w:b/>
                <w:bCs/>
                <w:color w:val="000000"/>
                <w:sz w:val="21"/>
                <w:szCs w:val="21"/>
                <w:lang w:bidi="ar"/>
              </w:rPr>
            </w:pPr>
            <w:r>
              <w:rPr>
                <w:rFonts w:hint="eastAsia" w:ascii="Times New Roman" w:hAnsi="Times New Roman"/>
                <w:b/>
                <w:bCs/>
                <w:color w:val="000000"/>
                <w:sz w:val="21"/>
                <w:szCs w:val="21"/>
                <w:lang w:bidi="ar"/>
              </w:rPr>
              <w:t>11</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1192D">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李昂</w:t>
            </w:r>
          </w:p>
        </w:tc>
        <w:tc>
          <w:tcPr>
            <w:tcW w:w="2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FD247">
            <w:pPr>
              <w:ind w:firstLine="0" w:firstLineChars="0"/>
              <w:jc w:val="center"/>
              <w:rPr>
                <w:rFonts w:ascii="Times New Roman" w:hAnsi="Times New Roman"/>
                <w:color w:val="000000"/>
                <w:sz w:val="21"/>
                <w:szCs w:val="21"/>
              </w:rPr>
            </w:pPr>
            <w:r>
              <w:rPr>
                <w:rFonts w:hint="eastAsia" w:ascii="Times New Roman" w:hAnsi="Times New Roman"/>
                <w:sz w:val="21"/>
                <w:szCs w:val="21"/>
              </w:rPr>
              <w:t>南京万瑞环境科技有限公司</w:t>
            </w:r>
          </w:p>
        </w:tc>
        <w:tc>
          <w:tcPr>
            <w:tcW w:w="16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2BC19">
            <w:pPr>
              <w:ind w:firstLine="0" w:firstLineChars="0"/>
              <w:jc w:val="center"/>
              <w:rPr>
                <w:rFonts w:ascii="Times New Roman" w:hAnsi="Times New Roman"/>
                <w:sz w:val="21"/>
                <w:szCs w:val="21"/>
              </w:rPr>
            </w:pPr>
            <w:r>
              <w:rPr>
                <w:rFonts w:hint="eastAsia" w:ascii="Times New Roman" w:hAnsi="Times New Roman"/>
                <w:sz w:val="21"/>
                <w:szCs w:val="21"/>
              </w:rPr>
              <w:t>研究实习员</w:t>
            </w:r>
          </w:p>
        </w:tc>
        <w:tc>
          <w:tcPr>
            <w:tcW w:w="2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6B771">
            <w:pPr>
              <w:ind w:firstLine="0" w:firstLineChars="0"/>
              <w:jc w:val="center"/>
              <w:rPr>
                <w:rFonts w:ascii="Times New Roman" w:hAnsi="Times New Roman"/>
                <w:color w:val="000000"/>
                <w:sz w:val="21"/>
                <w:szCs w:val="21"/>
              </w:rPr>
            </w:pPr>
            <w:r>
              <w:rPr>
                <w:rFonts w:hint="eastAsia" w:ascii="Times New Roman" w:hAnsi="Times New Roman"/>
                <w:sz w:val="21"/>
                <w:szCs w:val="21"/>
              </w:rPr>
              <w:t>标准技术编制</w:t>
            </w:r>
          </w:p>
        </w:tc>
      </w:tr>
    </w:tbl>
    <w:p w14:paraId="63DF7289">
      <w:pPr>
        <w:rPr>
          <w:rFonts w:ascii="Times New Roman" w:hAnsi="Times New Roman" w:cs="Times New Roman"/>
        </w:rPr>
      </w:pPr>
      <w:r>
        <w:rPr>
          <w:rFonts w:hint="eastAsia" w:ascii="Times New Roman" w:hAnsi="Times New Roman" w:cs="Times New Roman"/>
        </w:rPr>
        <w:t>（2）</w:t>
      </w:r>
      <w:r>
        <w:rPr>
          <w:rFonts w:ascii="Times New Roman" w:hAnsi="Times New Roman"/>
        </w:rPr>
        <w:t>资料收集与现场调研</w:t>
      </w:r>
    </w:p>
    <w:p w14:paraId="0E39E923">
      <w:pPr>
        <w:rPr>
          <w:rFonts w:ascii="Times New Roman" w:hAnsi="Times New Roman"/>
        </w:rPr>
      </w:pPr>
      <w:r>
        <w:rPr>
          <w:rFonts w:ascii="Times New Roman" w:hAnsi="Times New Roman" w:cs="Times New Roman"/>
        </w:rPr>
        <w:t>2024年6-</w:t>
      </w:r>
      <w:r>
        <w:rPr>
          <w:rFonts w:hint="eastAsia" w:ascii="Times New Roman" w:hAnsi="Times New Roman" w:cs="Times New Roman"/>
        </w:rPr>
        <w:t>7</w:t>
      </w:r>
      <w:r>
        <w:rPr>
          <w:rFonts w:ascii="Times New Roman" w:hAnsi="Times New Roman" w:cs="Times New Roman"/>
        </w:rPr>
        <w:t>月</w:t>
      </w:r>
      <w:r>
        <w:rPr>
          <w:rFonts w:hint="eastAsia" w:ascii="Times New Roman" w:hAnsi="Times New Roman" w:cs="Times New Roman"/>
        </w:rPr>
        <w:t>，一是收集整理渔业养殖尾水的水质监测数据，目前已获得了大部分重要养殖品种的尾水监测数据；二是根据各养殖品种或模式的生产特点，对连云港、徐州、盐城、南通、无锡、常州和苏州等地开展</w:t>
      </w:r>
      <w:r>
        <w:rPr>
          <w:rFonts w:hint="eastAsia" w:ascii="Times New Roman" w:hAnsi="Times New Roman"/>
          <w:color w:val="000000"/>
          <w:lang w:bidi="ar"/>
        </w:rPr>
        <w:t>现场调研，调研过程中广泛收集相关市县开展尾水排放监督工作时实施的监测数据和地方养殖企业开展的监测数据。</w:t>
      </w:r>
    </w:p>
    <w:p w14:paraId="5EB189DA">
      <w:pPr>
        <w:widowControl/>
        <w:jc w:val="left"/>
        <w:rPr>
          <w:rFonts w:ascii="Times New Roman" w:hAnsi="Times New Roman"/>
        </w:rPr>
      </w:pPr>
      <w:r>
        <w:rPr>
          <w:rFonts w:hint="eastAsia" w:ascii="Times New Roman" w:hAnsi="Times New Roman"/>
          <w:color w:val="000000"/>
          <w:lang w:bidi="ar"/>
        </w:rPr>
        <w:t>(3)对其他成果编制与实施的借鉴</w:t>
      </w:r>
    </w:p>
    <w:p w14:paraId="5C025B7E">
      <w:pPr>
        <w:widowControl/>
        <w:jc w:val="left"/>
        <w:rPr>
          <w:rFonts w:ascii="Times New Roman" w:hAnsi="Times New Roman"/>
          <w:color w:val="000000"/>
          <w:lang w:bidi="ar"/>
        </w:rPr>
      </w:pPr>
      <w:r>
        <w:rPr>
          <w:rFonts w:ascii="Times New Roman" w:hAnsi="Times New Roman" w:cs="Times New Roman"/>
        </w:rPr>
        <w:t>2024年</w:t>
      </w:r>
      <w:r>
        <w:rPr>
          <w:rFonts w:hint="eastAsia" w:ascii="Times New Roman" w:hAnsi="Times New Roman" w:cs="Times New Roman"/>
        </w:rPr>
        <w:t>8</w:t>
      </w:r>
      <w:r>
        <w:rPr>
          <w:rFonts w:ascii="Times New Roman" w:hAnsi="Times New Roman" w:cs="Times New Roman"/>
        </w:rPr>
        <w:t>-1</w:t>
      </w:r>
      <w:r>
        <w:rPr>
          <w:rFonts w:hint="eastAsia" w:ascii="Times New Roman" w:hAnsi="Times New Roman" w:cs="Times New Roman"/>
        </w:rPr>
        <w:t>0</w:t>
      </w:r>
      <w:r>
        <w:rPr>
          <w:rFonts w:ascii="Times New Roman" w:hAnsi="Times New Roman" w:cs="Times New Roman"/>
        </w:rPr>
        <w:t>月</w:t>
      </w:r>
      <w:r>
        <w:rPr>
          <w:rFonts w:hint="eastAsia" w:ascii="Times New Roman" w:hAnsi="Times New Roman" w:cs="Times New Roman"/>
        </w:rPr>
        <w:t>，</w:t>
      </w:r>
      <w:r>
        <w:rPr>
          <w:rFonts w:hint="eastAsia" w:ascii="Times New Roman" w:hAnsi="Times New Roman"/>
          <w:color w:val="000000"/>
          <w:lang w:bidi="ar"/>
        </w:rPr>
        <w:t>一是调研了浙江、安徽等已制定技术规范标准的地区，听取编制单位、生态环境部门、农业农村部门、养殖业者和水污染治理企业对技术规范标准的意见；二是咨询调研了《池塘养殖尾水生态治理技术规范》课题组（中国科学院南京地理与湖泊研究所、江苏省渔业技术推广中心）关于池塘养殖尾水生态治理技术规范标准的制定经验。</w:t>
      </w:r>
    </w:p>
    <w:p w14:paraId="617CCECF">
      <w:pPr>
        <w:widowControl/>
        <w:jc w:val="left"/>
        <w:rPr>
          <w:rFonts w:ascii="Times New Roman" w:hAnsi="Times New Roman"/>
        </w:rPr>
      </w:pPr>
      <w:r>
        <w:rPr>
          <w:rFonts w:hint="eastAsia" w:ascii="Times New Roman" w:hAnsi="Times New Roman"/>
          <w:color w:val="000000"/>
          <w:lang w:bidi="ar"/>
        </w:rPr>
        <w:t>(4)文件编制</w:t>
      </w:r>
    </w:p>
    <w:p w14:paraId="0C16B378">
      <w:pPr>
        <w:rPr>
          <w:rFonts w:ascii="Times New Roman" w:hAnsi="Times New Roman" w:cs="Times New Roman"/>
        </w:rPr>
      </w:pPr>
      <w:r>
        <w:rPr>
          <w:rFonts w:ascii="Times New Roman" w:hAnsi="Times New Roman" w:cs="Times New Roman"/>
        </w:rPr>
        <w:t>2024年</w:t>
      </w:r>
      <w:r>
        <w:rPr>
          <w:rFonts w:hint="eastAsia" w:ascii="Times New Roman" w:hAnsi="Times New Roman" w:cs="Times New Roman"/>
        </w:rPr>
        <w:t>11</w:t>
      </w:r>
      <w:r>
        <w:rPr>
          <w:rFonts w:ascii="Times New Roman" w:hAnsi="Times New Roman" w:cs="Times New Roman"/>
        </w:rPr>
        <w:t>月</w:t>
      </w:r>
      <w:r>
        <w:rPr>
          <w:rFonts w:hint="eastAsia" w:ascii="Times New Roman" w:hAnsi="Times New Roman" w:cs="Times New Roman"/>
        </w:rPr>
        <w:t>，</w:t>
      </w:r>
      <w:r>
        <w:rPr>
          <w:rFonts w:hint="eastAsia" w:ascii="Times New Roman" w:hAnsi="Times New Roman"/>
          <w:color w:val="000000"/>
          <w:lang w:bidi="ar"/>
        </w:rPr>
        <w:t>在以上工作基础上，以调研资料、历史资料、监测数据为基础，对我省渔业养殖尾水处理即排放进行了进一步调研，并对部分渔业养殖基地进行了实地调研，并咨询了部分专家和学者意见，确定了本技术规范标准的处理流程、处理方法、处理设施、运行维护、监督监测等内容，依据</w:t>
      </w:r>
      <w:r>
        <w:rPr>
          <w:rFonts w:hint="eastAsia" w:ascii="Times New Roman" w:hAnsi="Times New Roman" w:cs="Times New Roman"/>
        </w:rPr>
        <w:t>《团体标准管理规定》（国标委联[2019]1号）、《中华人民共和国标准化法》、《江苏省标准监督管理办法》、《江苏省渔业协会团体标准管理办法（试行）》以及《关于征集2024年江苏省渔业协会团体标准立项项目的通知》等规范性文件的要求，形成的《渔业</w:t>
      </w:r>
      <w:r>
        <w:rPr>
          <w:rFonts w:ascii="Times New Roman" w:hAnsi="Times New Roman" w:cs="Times New Roman"/>
        </w:rPr>
        <w:t>养殖尾水</w:t>
      </w:r>
      <w:r>
        <w:rPr>
          <w:rFonts w:hint="eastAsia" w:ascii="Times New Roman" w:hAnsi="Times New Roman" w:cs="Times New Roman"/>
        </w:rPr>
        <w:t>“微生物+生态处理”技术</w:t>
      </w:r>
      <w:r>
        <w:rPr>
          <w:rFonts w:ascii="Times New Roman" w:hAnsi="Times New Roman" w:cs="Times New Roman"/>
        </w:rPr>
        <w:t>规范</w:t>
      </w:r>
      <w:r>
        <w:rPr>
          <w:rFonts w:hint="eastAsia" w:ascii="Times New Roman" w:hAnsi="Times New Roman" w:cs="Times New Roman"/>
        </w:rPr>
        <w:t>》立项申请书。</w:t>
      </w:r>
    </w:p>
    <w:p w14:paraId="5DEFB505">
      <w:pPr>
        <w:widowControl/>
        <w:jc w:val="left"/>
        <w:rPr>
          <w:rFonts w:ascii="Times New Roman" w:hAnsi="Times New Roman"/>
        </w:rPr>
      </w:pPr>
      <w:r>
        <w:rPr>
          <w:rFonts w:ascii="Times New Roman" w:hAnsi="Times New Roman" w:cs="Times New Roman"/>
        </w:rPr>
        <w:t>2024年</w:t>
      </w:r>
      <w:r>
        <w:rPr>
          <w:rFonts w:hint="eastAsia" w:ascii="Times New Roman" w:hAnsi="Times New Roman" w:cs="Times New Roman"/>
        </w:rPr>
        <w:t>12</w:t>
      </w:r>
      <w:r>
        <w:rPr>
          <w:rFonts w:ascii="Times New Roman" w:hAnsi="Times New Roman" w:cs="Times New Roman"/>
        </w:rPr>
        <w:t>月</w:t>
      </w:r>
      <w:r>
        <w:rPr>
          <w:rFonts w:hint="eastAsia" w:ascii="Times New Roman" w:hAnsi="Times New Roman" w:cs="Times New Roman"/>
        </w:rPr>
        <w:t>，</w:t>
      </w:r>
      <w:r>
        <w:rPr>
          <w:rFonts w:hint="eastAsia" w:ascii="Times New Roman" w:hAnsi="Times New Roman"/>
          <w:color w:val="000000"/>
          <w:lang w:bidi="ar"/>
        </w:rPr>
        <w:t>工作过程中，多次征求</w:t>
      </w:r>
      <w:r>
        <w:rPr>
          <w:rFonts w:hint="eastAsia" w:ascii="Times New Roman" w:hAnsi="Times New Roman" w:cs="Times New Roman"/>
        </w:rPr>
        <w:t>中国科学院南京地理与湖泊研究所、江苏省渔业技术推广中心、江苏省淡水水产研究所</w:t>
      </w:r>
      <w:r>
        <w:rPr>
          <w:rFonts w:hint="eastAsia" w:ascii="Times New Roman" w:hAnsi="Times New Roman"/>
          <w:color w:val="000000"/>
          <w:lang w:bidi="ar"/>
        </w:rPr>
        <w:t>、南京市水产科学研究所对本标准草案的意见，丰富并完善了本标准的内容，针对各处提出的意见建议经申请立项单位论证后修改完善，形成本稿。</w:t>
      </w:r>
    </w:p>
    <w:p w14:paraId="50006405">
      <w:pPr>
        <w:pStyle w:val="17"/>
        <w:spacing w:line="360" w:lineRule="auto"/>
        <w:rPr>
          <w:rFonts w:ascii="Times New Roman" w:hAnsi="Times New Roman" w:eastAsia="黑体"/>
          <w:b w:val="0"/>
          <w:bCs w:val="0"/>
          <w:sz w:val="24"/>
          <w:szCs w:val="36"/>
        </w:rPr>
      </w:pPr>
      <w:bookmarkStart w:id="8" w:name="_Toc170888043"/>
      <w:bookmarkStart w:id="9" w:name="_Toc186557543"/>
      <w:r>
        <w:rPr>
          <w:rFonts w:hint="eastAsia" w:ascii="Times New Roman" w:hAnsi="Times New Roman" w:eastAsia="黑体"/>
          <w:b w:val="0"/>
          <w:bCs w:val="0"/>
          <w:sz w:val="24"/>
          <w:szCs w:val="36"/>
        </w:rPr>
        <w:t>2 行业概况</w:t>
      </w:r>
      <w:bookmarkEnd w:id="8"/>
      <w:bookmarkEnd w:id="9"/>
    </w:p>
    <w:p w14:paraId="3A0A008A">
      <w:pPr>
        <w:pStyle w:val="22"/>
        <w:spacing w:line="360" w:lineRule="auto"/>
        <w:rPr>
          <w:rFonts w:ascii="Times New Roman" w:hAnsi="Times New Roman" w:eastAsia="黑体"/>
          <w:b w:val="0"/>
          <w:bCs w:val="0"/>
          <w:sz w:val="24"/>
          <w:szCs w:val="28"/>
        </w:rPr>
      </w:pPr>
      <w:bookmarkStart w:id="10" w:name="_Toc186557544"/>
      <w:bookmarkStart w:id="11" w:name="_Toc170888044"/>
      <w:r>
        <w:rPr>
          <w:rFonts w:ascii="Times New Roman" w:hAnsi="Times New Roman" w:eastAsia="黑体"/>
          <w:b w:val="0"/>
          <w:bCs w:val="0"/>
          <w:sz w:val="24"/>
          <w:szCs w:val="28"/>
        </w:rPr>
        <w:t>2.1</w:t>
      </w:r>
      <w:r>
        <w:rPr>
          <w:rFonts w:hint="eastAsia" w:ascii="Times New Roman" w:hAnsi="Times New Roman" w:eastAsia="黑体"/>
          <w:b w:val="0"/>
          <w:bCs w:val="0"/>
          <w:sz w:val="24"/>
          <w:szCs w:val="28"/>
        </w:rPr>
        <w:t xml:space="preserve"> 我省池塘养殖现状</w:t>
      </w:r>
      <w:bookmarkEnd w:id="10"/>
      <w:bookmarkEnd w:id="11"/>
    </w:p>
    <w:p w14:paraId="2CC3771D">
      <w:pPr>
        <w:widowControl/>
        <w:jc w:val="left"/>
        <w:rPr>
          <w:rFonts w:ascii="Times New Roman" w:hAnsi="Times New Roman" w:cs="Times New Roman"/>
        </w:rPr>
      </w:pPr>
      <w:r>
        <w:rPr>
          <w:rFonts w:hint="eastAsia" w:ascii="Times New Roman" w:hAnsi="Times New Roman"/>
          <w:color w:val="000000"/>
          <w:lang w:bidi="ar"/>
        </w:rPr>
        <w:t>江苏是渔业大省，从事水产养殖业的区县有88个</w:t>
      </w:r>
      <w:r>
        <w:rPr>
          <w:rFonts w:hint="eastAsia" w:ascii="Times New Roman" w:hAnsi="Times New Roman" w:eastAsia="仿宋_GB2312" w:cs="Times New Roman"/>
        </w:rPr>
        <w:t>，</w:t>
      </w:r>
      <w:r>
        <w:rPr>
          <w:rFonts w:hint="eastAsia" w:ascii="Times New Roman" w:hAnsi="Times New Roman"/>
          <w:color w:val="000000"/>
          <w:lang w:bidi="ar"/>
        </w:rPr>
        <w:t>渔业产值约占全省农业产值的四分之一、</w:t>
      </w:r>
      <w:r>
        <w:rPr>
          <w:rFonts w:ascii="Times New Roman" w:hAnsi="Times New Roman"/>
          <w:color w:val="000000"/>
          <w:lang w:bidi="ar"/>
        </w:rPr>
        <w:t>常年位居全国第一。池塘养殖是我省渔业生产的主要方式，养殖面积和产量约占全省总量的60%。</w:t>
      </w:r>
      <w:r>
        <w:rPr>
          <w:rFonts w:hint="eastAsia" w:ascii="Times New Roman" w:hAnsi="Times New Roman"/>
          <w:color w:val="000000"/>
          <w:lang w:bidi="ar"/>
        </w:rPr>
        <w:t>2022年，江苏省池塘养殖面积340228公顷，产量2763890吨，生产力8.12吨/公顷，产量占比11.14%，面积占比11.26%，就单位面积的生产力</w:t>
      </w:r>
      <w:r>
        <w:rPr>
          <w:rFonts w:hint="eastAsia" w:ascii="Times New Roman" w:hAnsi="Times New Roman" w:cs="Times New Roman"/>
        </w:rPr>
        <w:t>远超全国平均水平（</w:t>
      </w:r>
      <w:r>
        <w:rPr>
          <w:rFonts w:ascii="Times New Roman" w:hAnsi="Times New Roman" w:cs="Times New Roman"/>
        </w:rPr>
        <w:t>8.21</w:t>
      </w:r>
      <w:r>
        <w:rPr>
          <w:rFonts w:hint="eastAsia" w:ascii="Times New Roman" w:hAnsi="Times New Roman" w:cs="Times New Roman"/>
        </w:rPr>
        <w:t>吨</w:t>
      </w:r>
      <w:r>
        <w:rPr>
          <w:rFonts w:ascii="Times New Roman" w:hAnsi="Times New Roman" w:cs="Times New Roman"/>
        </w:rPr>
        <w:t>/</w:t>
      </w:r>
      <w:r>
        <w:rPr>
          <w:rFonts w:hint="eastAsia" w:ascii="Times New Roman" w:hAnsi="Times New Roman" w:cs="Times New Roman"/>
        </w:rPr>
        <w:t>公顷）。</w:t>
      </w:r>
    </w:p>
    <w:p w14:paraId="61BD6A3A">
      <w:pPr>
        <w:widowControl/>
        <w:jc w:val="left"/>
        <w:rPr>
          <w:rFonts w:ascii="Times New Roman" w:hAnsi="Times New Roman"/>
          <w:color w:val="000000"/>
          <w:lang w:bidi="ar"/>
        </w:rPr>
      </w:pPr>
      <w:r>
        <w:rPr>
          <w:rFonts w:hint="eastAsia" w:ascii="Times New Roman" w:hAnsi="Times New Roman"/>
          <w:color w:val="000000"/>
          <w:lang w:bidi="ar"/>
        </w:rPr>
        <w:t>可见，我省渔业养殖生产力相对较高，单位面积产出水产品较高，意味着污染物排放浓度更高、排放量将更大，处理水产养殖污染物技术要求更高，单位面积成本也将更高。</w:t>
      </w:r>
    </w:p>
    <w:p w14:paraId="3AA112FB">
      <w:pPr>
        <w:pStyle w:val="22"/>
        <w:spacing w:line="360" w:lineRule="auto"/>
        <w:rPr>
          <w:rFonts w:ascii="Times New Roman" w:hAnsi="Times New Roman" w:eastAsia="黑体"/>
          <w:b w:val="0"/>
          <w:bCs w:val="0"/>
          <w:sz w:val="24"/>
          <w:szCs w:val="28"/>
        </w:rPr>
      </w:pPr>
      <w:bookmarkStart w:id="12" w:name="_Toc170888045"/>
      <w:bookmarkStart w:id="13" w:name="_Toc186557545"/>
      <w:r>
        <w:rPr>
          <w:rFonts w:hint="eastAsia" w:ascii="Times New Roman" w:hAnsi="Times New Roman" w:eastAsia="黑体"/>
          <w:b w:val="0"/>
          <w:bCs w:val="0"/>
          <w:sz w:val="24"/>
          <w:szCs w:val="28"/>
        </w:rPr>
        <w:t>2.2 行业发展趋势预测</w:t>
      </w:r>
      <w:bookmarkEnd w:id="12"/>
      <w:bookmarkEnd w:id="13"/>
    </w:p>
    <w:p w14:paraId="5061EDD7">
      <w:pPr>
        <w:widowControl/>
        <w:jc w:val="left"/>
        <w:rPr>
          <w:rFonts w:ascii="Times New Roman" w:hAnsi="Times New Roman"/>
        </w:rPr>
      </w:pPr>
      <w:r>
        <w:rPr>
          <w:rFonts w:hint="eastAsia" w:ascii="Times New Roman" w:hAnsi="Times New Roman"/>
          <w:color w:val="000000"/>
          <w:lang w:bidi="ar"/>
        </w:rPr>
        <w:t>（1）以绿色发展理念为引领，推进渔业供给侧改革，创新运行机制，提升产业服务能力。</w:t>
      </w:r>
    </w:p>
    <w:p w14:paraId="57EE35F5">
      <w:pPr>
        <w:widowControl/>
        <w:jc w:val="left"/>
        <w:rPr>
          <w:rFonts w:ascii="Times New Roman" w:hAnsi="Times New Roman"/>
          <w:color w:val="000000"/>
          <w:lang w:bidi="ar"/>
        </w:rPr>
      </w:pPr>
      <w:r>
        <w:rPr>
          <w:rFonts w:hint="eastAsia" w:ascii="Times New Roman" w:hAnsi="Times New Roman"/>
          <w:color w:val="000000"/>
          <w:lang w:bidi="ar"/>
        </w:rPr>
        <w:t>（2）积极推进绿色健康养殖相关的养殖技术、水质控制、净化处理等技术研究；进一步加强自动控制技术、微生物技术研发及应用；充分发挥“数字渔业”优势，加速与传统养殖融合，推动渔业产业健康发展。</w:t>
      </w:r>
    </w:p>
    <w:p w14:paraId="6898E493">
      <w:pPr>
        <w:widowControl/>
        <w:jc w:val="left"/>
        <w:rPr>
          <w:rFonts w:ascii="Times New Roman" w:hAnsi="Times New Roman"/>
          <w:color w:val="000000"/>
          <w:lang w:bidi="ar"/>
        </w:rPr>
      </w:pPr>
      <w:r>
        <w:rPr>
          <w:rFonts w:hint="eastAsia" w:ascii="Times New Roman" w:hAnsi="Times New Roman"/>
          <w:color w:val="000000"/>
          <w:lang w:bidi="ar"/>
        </w:rPr>
        <w:t>（3）设施渔业将是水产养殖发展方向。随着国家和公众逐渐关注水产养殖尾水排放对环境影响，设施渔业因能更好收集、处理水产养殖尾水，能更高效利用土地及单位面积产出更多养殖产品，更能满足社会需求和生态环境保护要求，更好促进水产养殖与生态环境的协调发展。</w:t>
      </w:r>
    </w:p>
    <w:p w14:paraId="4C85BCCF">
      <w:pPr>
        <w:rPr>
          <w:rFonts w:ascii="Times New Roman" w:hAnsi="Times New Roman" w:cs="Times New Roman"/>
        </w:rPr>
      </w:pPr>
      <w:r>
        <w:rPr>
          <w:rFonts w:hint="eastAsia" w:ascii="Times New Roman" w:hAnsi="Times New Roman"/>
          <w:color w:val="000000"/>
          <w:lang w:bidi="ar"/>
        </w:rPr>
        <w:t>（4）</w:t>
      </w:r>
      <w:r>
        <w:rPr>
          <w:rFonts w:hint="eastAsia" w:ascii="Times New Roman" w:hAnsi="Times New Roman" w:cs="Times New Roman"/>
        </w:rPr>
        <w:t>行业在其他国家和地区发展概况</w:t>
      </w:r>
    </w:p>
    <w:p w14:paraId="41A93022">
      <w:pPr>
        <w:widowControl/>
        <w:jc w:val="left"/>
        <w:rPr>
          <w:rFonts w:ascii="Times New Roman" w:hAnsi="Times New Roman"/>
          <w:color w:val="000000"/>
          <w:lang w:bidi="ar"/>
        </w:rPr>
      </w:pPr>
      <w:r>
        <w:rPr>
          <w:rFonts w:hint="eastAsia" w:ascii="Times New Roman" w:hAnsi="Times New Roman"/>
          <w:color w:val="000000"/>
          <w:lang w:bidi="ar"/>
        </w:rPr>
        <w:t>欧、美、日等发达国家和地区虽然制定了相关标准，但大部分国家的水产养殖业规模都较小，养殖品种少，养殖模式也较单一，其制定的标准不宜照搬。</w:t>
      </w:r>
    </w:p>
    <w:p w14:paraId="12A86783">
      <w:pPr>
        <w:widowControl/>
        <w:jc w:val="left"/>
        <w:rPr>
          <w:rFonts w:ascii="Times New Roman" w:hAnsi="Times New Roman"/>
          <w:color w:val="000000"/>
          <w:lang w:bidi="ar"/>
        </w:rPr>
      </w:pPr>
      <w:r>
        <w:rPr>
          <w:rFonts w:hint="eastAsia" w:ascii="Times New Roman" w:hAnsi="Times New Roman"/>
          <w:color w:val="000000"/>
          <w:lang w:bidi="ar"/>
        </w:rPr>
        <w:t>其他省市虽然也制定了相关标准，但地区差异较大，其制定的标准可以借鉴，但不宜照搬。</w:t>
      </w:r>
    </w:p>
    <w:p w14:paraId="6197DA4A">
      <w:pPr>
        <w:pStyle w:val="17"/>
        <w:spacing w:line="360" w:lineRule="auto"/>
        <w:rPr>
          <w:rFonts w:ascii="Times New Roman" w:hAnsi="Times New Roman" w:eastAsia="黑体"/>
          <w:b w:val="0"/>
          <w:bCs w:val="0"/>
          <w:sz w:val="24"/>
          <w:szCs w:val="36"/>
        </w:rPr>
      </w:pPr>
      <w:bookmarkStart w:id="14" w:name="_Toc186557546"/>
      <w:bookmarkStart w:id="15" w:name="_Toc170888046"/>
      <w:bookmarkStart w:id="16" w:name="_Hlk168991393"/>
      <w:r>
        <w:rPr>
          <w:rFonts w:hint="eastAsia" w:ascii="Times New Roman" w:hAnsi="Times New Roman" w:eastAsia="黑体"/>
          <w:b w:val="0"/>
          <w:bCs w:val="0"/>
          <w:sz w:val="24"/>
          <w:szCs w:val="36"/>
        </w:rPr>
        <w:t>3 标准制订的必要性分析</w:t>
      </w:r>
      <w:bookmarkEnd w:id="14"/>
      <w:bookmarkEnd w:id="15"/>
    </w:p>
    <w:bookmarkEnd w:id="16"/>
    <w:p w14:paraId="199E3096">
      <w:pPr>
        <w:pStyle w:val="22"/>
        <w:spacing w:line="360" w:lineRule="auto"/>
        <w:rPr>
          <w:rFonts w:ascii="Times New Roman" w:hAnsi="Times New Roman" w:eastAsia="黑体"/>
          <w:b w:val="0"/>
          <w:bCs w:val="0"/>
          <w:sz w:val="24"/>
          <w:szCs w:val="28"/>
        </w:rPr>
      </w:pPr>
      <w:bookmarkStart w:id="17" w:name="_Toc186557547"/>
      <w:bookmarkStart w:id="18" w:name="_Toc170888047"/>
      <w:r>
        <w:rPr>
          <w:rFonts w:hint="eastAsia" w:ascii="Times New Roman" w:hAnsi="Times New Roman" w:eastAsia="黑体"/>
          <w:b w:val="0"/>
          <w:bCs w:val="0"/>
          <w:sz w:val="24"/>
          <w:szCs w:val="28"/>
        </w:rPr>
        <w:t>3.1 国家和江苏省政府的要求</w:t>
      </w:r>
      <w:bookmarkEnd w:id="17"/>
      <w:bookmarkEnd w:id="18"/>
    </w:p>
    <w:p w14:paraId="64BAACF4">
      <w:pPr>
        <w:widowControl/>
        <w:jc w:val="left"/>
        <w:rPr>
          <w:rFonts w:ascii="Times New Roman" w:hAnsi="Times New Roman"/>
          <w:color w:val="333333"/>
          <w:lang w:bidi="ar"/>
        </w:rPr>
      </w:pPr>
      <w:r>
        <w:rPr>
          <w:rFonts w:ascii="Times New Roman" w:hAnsi="Times New Roman" w:cs="Times New Roman"/>
          <w:color w:val="000000"/>
          <w:lang w:bidi="ar"/>
        </w:rPr>
        <w:t>2018</w:t>
      </w:r>
      <w:r>
        <w:rPr>
          <w:rFonts w:hint="eastAsia" w:ascii="Times New Roman" w:hAnsi="Times New Roman"/>
          <w:color w:val="000000"/>
          <w:lang w:bidi="ar"/>
        </w:rPr>
        <w:t>年</w:t>
      </w:r>
      <w:r>
        <w:rPr>
          <w:rFonts w:ascii="Times New Roman" w:hAnsi="Times New Roman" w:cs="Times New Roman"/>
          <w:color w:val="000000"/>
          <w:lang w:bidi="ar"/>
        </w:rPr>
        <w:t>6</w:t>
      </w:r>
      <w:r>
        <w:rPr>
          <w:rFonts w:hint="eastAsia" w:ascii="Times New Roman" w:hAnsi="Times New Roman"/>
          <w:color w:val="000000"/>
          <w:lang w:bidi="ar"/>
        </w:rPr>
        <w:t>月印发的《中共中央国务院关于全面加强生态环境保护坚决打好污染防治攻坚战的意见》（中发〔</w:t>
      </w:r>
      <w:r>
        <w:rPr>
          <w:rFonts w:ascii="Times New Roman" w:hAnsi="Times New Roman" w:cs="Times New Roman"/>
          <w:color w:val="000000"/>
          <w:lang w:bidi="ar"/>
        </w:rPr>
        <w:t>2018</w:t>
      </w:r>
      <w:r>
        <w:rPr>
          <w:rFonts w:hint="eastAsia" w:ascii="Times New Roman" w:hAnsi="Times New Roman"/>
          <w:color w:val="000000"/>
          <w:lang w:bidi="ar"/>
        </w:rPr>
        <w:t>〕</w:t>
      </w:r>
      <w:r>
        <w:rPr>
          <w:rFonts w:ascii="Times New Roman" w:hAnsi="Times New Roman" w:cs="Times New Roman"/>
          <w:color w:val="000000"/>
          <w:lang w:bidi="ar"/>
        </w:rPr>
        <w:t xml:space="preserve">17 </w:t>
      </w:r>
      <w:r>
        <w:rPr>
          <w:rFonts w:hint="eastAsia" w:ascii="Times New Roman" w:hAnsi="Times New Roman"/>
          <w:color w:val="000000"/>
          <w:lang w:bidi="ar"/>
        </w:rPr>
        <w:t>号）提出要“严格控制海水养殖等造成的海上污染”，要“深入推进水产健康养殖，开展重点江河湖库及重点近岸海域破坏生态环境的养殖方式综合整治”。在取得阶段治理成效之后，</w:t>
      </w:r>
      <w:r>
        <w:rPr>
          <w:rFonts w:ascii="Times New Roman" w:hAnsi="Times New Roman" w:cs="Times New Roman"/>
          <w:color w:val="000000"/>
          <w:lang w:bidi="ar"/>
        </w:rPr>
        <w:t>2021</w:t>
      </w:r>
      <w:r>
        <w:rPr>
          <w:rFonts w:hint="eastAsia" w:ascii="Times New Roman" w:hAnsi="Times New Roman"/>
          <w:color w:val="000000"/>
          <w:lang w:bidi="ar"/>
        </w:rPr>
        <w:t>年</w:t>
      </w:r>
      <w:r>
        <w:rPr>
          <w:rFonts w:ascii="Times New Roman" w:hAnsi="Times New Roman" w:cs="Times New Roman"/>
          <w:color w:val="000000"/>
          <w:lang w:bidi="ar"/>
        </w:rPr>
        <w:t>11</w:t>
      </w:r>
      <w:r>
        <w:rPr>
          <w:rFonts w:hint="eastAsia" w:ascii="Times New Roman" w:hAnsi="Times New Roman"/>
          <w:color w:val="000000"/>
          <w:lang w:bidi="ar"/>
        </w:rPr>
        <w:t>月《中共中央国务院关于深入打好污染防治攻坚战的意见》（中发[</w:t>
      </w:r>
      <w:r>
        <w:rPr>
          <w:rFonts w:ascii="Times New Roman" w:hAnsi="Times New Roman" w:cs="Times New Roman"/>
          <w:color w:val="000000"/>
          <w:lang w:bidi="ar"/>
        </w:rPr>
        <w:t>2021</w:t>
      </w:r>
      <w:r>
        <w:rPr>
          <w:rFonts w:hint="eastAsia" w:ascii="Times New Roman" w:hAnsi="Times New Roman" w:cs="Times New Roman"/>
          <w:color w:val="000000"/>
          <w:lang w:bidi="ar"/>
        </w:rPr>
        <w:t>]</w:t>
      </w:r>
      <w:r>
        <w:rPr>
          <w:rFonts w:ascii="Times New Roman" w:hAnsi="Times New Roman" w:cs="Times New Roman"/>
          <w:color w:val="000000"/>
          <w:lang w:bidi="ar"/>
        </w:rPr>
        <w:t xml:space="preserve">32 </w:t>
      </w:r>
      <w:r>
        <w:rPr>
          <w:rFonts w:hint="eastAsia" w:ascii="Times New Roman" w:hAnsi="Times New Roman"/>
          <w:color w:val="000000"/>
          <w:lang w:bidi="ar"/>
        </w:rPr>
        <w:t>号）提出，要求“</w:t>
      </w:r>
      <w:r>
        <w:rPr>
          <w:rFonts w:hint="eastAsia" w:ascii="Times New Roman" w:hAnsi="Times New Roman"/>
          <w:color w:val="333333"/>
          <w:lang w:bidi="ar"/>
        </w:rPr>
        <w:t>坚持方向不变、力度不减，巩固拓展“十三五”时期污染防治攻坚成果，继续打好一批标志性战役</w:t>
      </w:r>
      <w:r>
        <w:rPr>
          <w:rFonts w:hint="eastAsia" w:ascii="Times New Roman" w:hAnsi="Times New Roman"/>
          <w:color w:val="000000"/>
          <w:lang w:bidi="ar"/>
        </w:rPr>
        <w:t>”，要</w:t>
      </w:r>
      <w:r>
        <w:rPr>
          <w:rFonts w:hint="eastAsia" w:ascii="Times New Roman" w:hAnsi="Times New Roman"/>
          <w:color w:val="333333"/>
          <w:lang w:bidi="ar"/>
        </w:rPr>
        <w:t>加强农业农村污染防治、要深入推进海水养殖环境治理等工作。</w:t>
      </w:r>
    </w:p>
    <w:p w14:paraId="6889EAE6">
      <w:pPr>
        <w:widowControl/>
        <w:jc w:val="left"/>
        <w:rPr>
          <w:rFonts w:ascii="Times New Roman" w:hAnsi="Times New Roman"/>
          <w:color w:val="000000"/>
          <w:lang w:bidi="ar"/>
        </w:rPr>
      </w:pPr>
      <w:r>
        <w:rPr>
          <w:rFonts w:ascii="Times New Roman" w:hAnsi="Times New Roman" w:cs="Times New Roman"/>
          <w:color w:val="000000"/>
          <w:lang w:bidi="ar"/>
        </w:rPr>
        <w:t>2018</w:t>
      </w:r>
      <w:r>
        <w:rPr>
          <w:rFonts w:hint="eastAsia" w:ascii="Times New Roman" w:hAnsi="Times New Roman"/>
          <w:color w:val="000000"/>
          <w:lang w:bidi="ar"/>
        </w:rPr>
        <w:t>年</w:t>
      </w:r>
      <w:r>
        <w:rPr>
          <w:rFonts w:ascii="Times New Roman" w:hAnsi="Times New Roman" w:cs="Times New Roman"/>
          <w:color w:val="000000"/>
          <w:lang w:bidi="ar"/>
        </w:rPr>
        <w:t>11</w:t>
      </w:r>
      <w:r>
        <w:rPr>
          <w:rFonts w:hint="eastAsia" w:ascii="Times New Roman" w:hAnsi="Times New Roman"/>
          <w:color w:val="000000"/>
          <w:lang w:bidi="ar"/>
        </w:rPr>
        <w:t>月</w:t>
      </w:r>
      <w:r>
        <w:rPr>
          <w:rFonts w:ascii="Times New Roman" w:hAnsi="Times New Roman" w:cs="Times New Roman"/>
          <w:color w:val="000000"/>
          <w:lang w:bidi="ar"/>
        </w:rPr>
        <w:t>6</w:t>
      </w:r>
      <w:r>
        <w:rPr>
          <w:rFonts w:hint="eastAsia" w:ascii="Times New Roman" w:hAnsi="Times New Roman"/>
          <w:color w:val="000000"/>
          <w:lang w:bidi="ar"/>
        </w:rPr>
        <w:t>日，生态环境部、农业农村部印发了《生态环境部农业农村部关于印发农业农村污染治理攻坚战行动计划的通知》（环土壤〔</w:t>
      </w:r>
      <w:r>
        <w:rPr>
          <w:rFonts w:ascii="Times New Roman" w:hAnsi="Times New Roman" w:cs="Times New Roman"/>
          <w:color w:val="000000"/>
          <w:lang w:bidi="ar"/>
        </w:rPr>
        <w:t>2018</w:t>
      </w:r>
      <w:r>
        <w:rPr>
          <w:rFonts w:hint="eastAsia" w:ascii="Times New Roman" w:hAnsi="Times New Roman"/>
          <w:color w:val="000000"/>
          <w:lang w:bidi="ar"/>
        </w:rPr>
        <w:t>〕</w:t>
      </w:r>
      <w:r>
        <w:rPr>
          <w:rFonts w:ascii="Times New Roman" w:hAnsi="Times New Roman" w:cs="Times New Roman"/>
          <w:color w:val="000000"/>
          <w:lang w:bidi="ar"/>
        </w:rPr>
        <w:t xml:space="preserve">143 </w:t>
      </w:r>
      <w:r>
        <w:rPr>
          <w:rFonts w:hint="eastAsia" w:ascii="Times New Roman" w:hAnsi="Times New Roman"/>
          <w:color w:val="000000"/>
          <w:lang w:bidi="ar"/>
        </w:rPr>
        <w:t>号），《通知》提出的相关主要任务有：加强水产养殖污染防治和水生生态保护；优化水产养殖空间布局，依法科学划定禁止养殖区、限制养殖区和养殖区；推进水产生态健康养殖，积极发展大水面生态增养殖、工厂化循环水养殖、池塘工程化循环水养殖、连片池塘尾水集中处理模式等健康养殖方式，推进稻渔综合种养等生态循环农业；推动出台水产养殖尾水排放标准，加快推进水产养殖节水减排；发展不投饵滤食性、草食性鱼类增养殖，实现以渔控草、以渔抑藻、以渔净水。严控河流、近岸海域投饵网箱养殖；大力推进以长江为重点的水生生物保护行动，修复水生生态环境，加强水域环境监测。</w:t>
      </w:r>
    </w:p>
    <w:p w14:paraId="0E0566BB">
      <w:pPr>
        <w:rPr>
          <w:rFonts w:ascii="Times New Roman" w:hAnsi="Times New Roman"/>
        </w:rPr>
      </w:pPr>
      <w:r>
        <w:rPr>
          <w:rFonts w:hint="eastAsia" w:ascii="Times New Roman" w:hAnsi="Times New Roman" w:cs="Times New Roman"/>
        </w:rPr>
        <w:t>2021年6月3日，江苏省生态环境厅、江苏省市场监督管理局发布了江苏省地方标准《池塘养殖尾水排放标准》，</w:t>
      </w:r>
      <w:r>
        <w:rPr>
          <w:rFonts w:hint="eastAsia" w:ascii="Times New Roman" w:hAnsi="Times New Roman"/>
        </w:rPr>
        <w:t>该标准</w:t>
      </w:r>
      <w:r>
        <w:rPr>
          <w:rFonts w:ascii="Times New Roman" w:hAnsi="Times New Roman"/>
        </w:rPr>
        <w:t>规定了池塘养殖尾水排放的分级分类、排放</w:t>
      </w:r>
      <w:r>
        <w:rPr>
          <w:rFonts w:hint="eastAsia" w:ascii="Times New Roman" w:hAnsi="Times New Roman"/>
        </w:rPr>
        <w:t>限值与要求</w:t>
      </w:r>
      <w:r>
        <w:rPr>
          <w:rFonts w:ascii="Times New Roman" w:hAnsi="Times New Roman"/>
        </w:rPr>
        <w:t>、监测方法、结果判定、实施与监督</w:t>
      </w:r>
      <w:r>
        <w:rPr>
          <w:rFonts w:hint="eastAsia" w:ascii="Times New Roman" w:hAnsi="Times New Roman"/>
        </w:rPr>
        <w:t>，为强制性地方标准。根据《江苏省水污染防治条例》第八十五条规定，养殖尾水的排放不符合有关标准的，应当限期改正；逾期未改正的，生态环境主管部门可处五万元以下罚款。</w:t>
      </w:r>
    </w:p>
    <w:p w14:paraId="0042BA00">
      <w:pPr>
        <w:pStyle w:val="22"/>
        <w:spacing w:line="360" w:lineRule="auto"/>
        <w:rPr>
          <w:rFonts w:ascii="Times New Roman" w:hAnsi="Times New Roman" w:eastAsia="黑体"/>
          <w:b w:val="0"/>
          <w:bCs w:val="0"/>
          <w:sz w:val="24"/>
          <w:szCs w:val="28"/>
        </w:rPr>
      </w:pPr>
      <w:bookmarkStart w:id="19" w:name="_Toc186557548"/>
      <w:bookmarkStart w:id="20" w:name="_Toc170888048"/>
      <w:r>
        <w:rPr>
          <w:rFonts w:hint="eastAsia" w:ascii="Times New Roman" w:hAnsi="Times New Roman" w:eastAsia="黑体"/>
          <w:b w:val="0"/>
          <w:bCs w:val="0"/>
          <w:sz w:val="24"/>
          <w:szCs w:val="28"/>
        </w:rPr>
        <w:t>3.2 行业发展带来的主要环境问题</w:t>
      </w:r>
      <w:bookmarkEnd w:id="19"/>
      <w:bookmarkEnd w:id="20"/>
    </w:p>
    <w:p w14:paraId="1AE64FF8">
      <w:pPr>
        <w:widowControl/>
        <w:rPr>
          <w:rFonts w:ascii="Times New Roman" w:hAnsi="Times New Roman"/>
          <w:color w:val="000000"/>
          <w:lang w:bidi="ar"/>
        </w:rPr>
      </w:pPr>
      <w:r>
        <w:rPr>
          <w:rFonts w:hint="eastAsia" w:ascii="Times New Roman" w:hAnsi="Times New Roman"/>
          <w:color w:val="000000"/>
          <w:lang w:bidi="ar"/>
        </w:rPr>
        <w:t>（1）渔业养殖过程中，投入的饲料被养殖动物摄食、吸收、利用后，会产生残饵、粪便、代谢物等，这些物质降解过程中，造成养殖水体中有机物含量升高，氮磷总量相应增加。有机物含量过高的养殖尾水排入外部环境中将产生一定的不利影响。目前，池塘养殖根据投入品来源，产生的主要特征污染物为：化学需氧量、氨氮、总氮、总磷等。</w:t>
      </w:r>
    </w:p>
    <w:p w14:paraId="109698E4">
      <w:pPr>
        <w:widowControl/>
        <w:jc w:val="left"/>
        <w:rPr>
          <w:rFonts w:ascii="Times New Roman" w:hAnsi="Times New Roman"/>
          <w:color w:val="000000"/>
          <w:lang w:bidi="ar"/>
        </w:rPr>
      </w:pPr>
      <w:r>
        <w:rPr>
          <w:rFonts w:hint="eastAsia" w:ascii="Times New Roman" w:hAnsi="Times New Roman"/>
          <w:color w:val="000000"/>
          <w:lang w:bidi="ar"/>
        </w:rPr>
        <w:t>（2）行业主要环境影响因子排放量占全省污染物排放总量的比例</w:t>
      </w:r>
    </w:p>
    <w:p w14:paraId="7C7422BD">
      <w:pPr>
        <w:pStyle w:val="14"/>
        <w:autoSpaceDE w:val="0"/>
        <w:autoSpaceDN w:val="0"/>
        <w:adjustRightInd w:val="0"/>
        <w:snapToGrid w:val="0"/>
        <w:spacing w:line="350" w:lineRule="auto"/>
        <w:ind w:firstLine="480"/>
        <w:rPr>
          <w:rFonts w:ascii="Times New Roman" w:hAnsi="Times New Roman" w:cs="宋体"/>
          <w:kern w:val="0"/>
          <w:sz w:val="24"/>
          <w:szCs w:val="24"/>
          <w:lang w:bidi="ar"/>
        </w:rPr>
      </w:pPr>
      <w:r>
        <w:rPr>
          <w:rFonts w:hint="eastAsia" w:ascii="Times New Roman" w:hAnsi="Times New Roman" w:eastAsia="宋体" w:cs="宋体"/>
          <w:color w:val="auto"/>
          <w:kern w:val="0"/>
          <w:sz w:val="24"/>
          <w:szCs w:val="24"/>
        </w:rPr>
        <w:t>根据2020年《江苏省第二次全国污染源普查公报》（普查的标准时点为2017年12月31日，时期资料为2017年度）。普查对象是我省境内排放污染物的工业污染源、农业污染源、生活污染源、集中式污染治理设施和移动源，报告显示水污染物总的排放量为：化学需氧量142.14万吨，氨氮7.01万吨，总氮21.23万吨，总磷2.08万吨。</w:t>
      </w:r>
      <w:r>
        <w:rPr>
          <w:rFonts w:ascii="Times New Roman" w:hAnsi="Times New Roman" w:eastAsia="宋体" w:cs="宋体"/>
          <w:color w:val="auto"/>
          <w:kern w:val="0"/>
          <w:sz w:val="24"/>
          <w:szCs w:val="24"/>
        </w:rPr>
        <w:t>农业源水污染物排放量</w:t>
      </w:r>
      <w:r>
        <w:rPr>
          <w:rFonts w:hint="eastAsia" w:ascii="Times New Roman" w:hAnsi="Times New Roman" w:eastAsia="宋体" w:cs="宋体"/>
          <w:color w:val="auto"/>
          <w:kern w:val="0"/>
          <w:sz w:val="24"/>
          <w:szCs w:val="24"/>
        </w:rPr>
        <w:t>为</w:t>
      </w:r>
      <w:r>
        <w:rPr>
          <w:rFonts w:ascii="Times New Roman" w:hAnsi="Times New Roman" w:eastAsia="宋体" w:cs="宋体"/>
          <w:color w:val="auto"/>
          <w:kern w:val="0"/>
          <w:sz w:val="24"/>
          <w:szCs w:val="24"/>
        </w:rPr>
        <w:t>：化学需氧量65.91万吨，氨氮1.66万吨，总氮9.16万吨，总磷1.36万吨。</w:t>
      </w:r>
    </w:p>
    <w:p w14:paraId="0E65AA8B">
      <w:pPr>
        <w:widowControl/>
        <w:jc w:val="left"/>
        <w:rPr>
          <w:rFonts w:ascii="Times New Roman" w:hAnsi="Times New Roman" w:cs="Times New Roman"/>
          <w:color w:val="000000"/>
          <w:lang w:bidi="ar"/>
        </w:rPr>
      </w:pPr>
      <w:r>
        <w:rPr>
          <w:rFonts w:hint="eastAsia" w:ascii="Times New Roman" w:hAnsi="Times New Roman"/>
          <w:color w:val="000000"/>
          <w:lang w:bidi="ar"/>
        </w:rPr>
        <w:t>水产养殖业的水污染物排放量为：化学需氧量16.26万吨，氨氮0.26万吨，总氮0.81万吨，总磷0.13万吨。其化学需氧量、氨氮、总氮和总磷排放量分别占全省总排放量的</w:t>
      </w:r>
      <w:r>
        <w:rPr>
          <w:rFonts w:hint="eastAsia" w:ascii="Times New Roman" w:hAnsi="Times New Roman" w:cs="Times New Roman"/>
          <w:color w:val="000000"/>
          <w:lang w:bidi="ar"/>
        </w:rPr>
        <w:t>11.44</w:t>
      </w:r>
      <w:r>
        <w:rPr>
          <w:rFonts w:ascii="Times New Roman" w:hAnsi="Times New Roman" w:cs="Times New Roman"/>
          <w:color w:val="000000"/>
          <w:lang w:bidi="ar"/>
        </w:rPr>
        <w:t>%</w:t>
      </w:r>
      <w:r>
        <w:rPr>
          <w:rFonts w:hint="eastAsia" w:ascii="Times New Roman" w:hAnsi="Times New Roman"/>
          <w:color w:val="000000"/>
          <w:lang w:bidi="ar"/>
        </w:rPr>
        <w:t>、</w:t>
      </w:r>
      <w:r>
        <w:rPr>
          <w:rFonts w:hint="eastAsia" w:ascii="Times New Roman" w:hAnsi="Times New Roman" w:cs="Times New Roman"/>
          <w:color w:val="000000"/>
          <w:lang w:bidi="ar"/>
        </w:rPr>
        <w:t>3.7</w:t>
      </w:r>
      <w:r>
        <w:rPr>
          <w:rFonts w:ascii="Times New Roman" w:hAnsi="Times New Roman" w:cs="Times New Roman"/>
          <w:color w:val="000000"/>
          <w:lang w:bidi="ar"/>
        </w:rPr>
        <w:t>%</w:t>
      </w:r>
      <w:r>
        <w:rPr>
          <w:rFonts w:hint="eastAsia" w:ascii="Times New Roman" w:hAnsi="Times New Roman"/>
          <w:color w:val="000000"/>
          <w:lang w:bidi="ar"/>
        </w:rPr>
        <w:t>、</w:t>
      </w:r>
      <w:r>
        <w:rPr>
          <w:rFonts w:hint="eastAsia" w:ascii="Times New Roman" w:hAnsi="Times New Roman" w:cs="Times New Roman"/>
          <w:color w:val="000000"/>
          <w:lang w:bidi="ar"/>
        </w:rPr>
        <w:t>3.82</w:t>
      </w:r>
      <w:r>
        <w:rPr>
          <w:rFonts w:ascii="Times New Roman" w:hAnsi="Times New Roman" w:cs="Times New Roman"/>
          <w:color w:val="000000"/>
          <w:lang w:bidi="ar"/>
        </w:rPr>
        <w:t>%</w:t>
      </w:r>
      <w:r>
        <w:rPr>
          <w:rFonts w:hint="eastAsia" w:ascii="Times New Roman" w:hAnsi="Times New Roman"/>
          <w:color w:val="000000"/>
          <w:lang w:bidi="ar"/>
        </w:rPr>
        <w:t>和</w:t>
      </w:r>
      <w:r>
        <w:rPr>
          <w:rFonts w:hint="eastAsia" w:ascii="Times New Roman" w:hAnsi="Times New Roman" w:cs="Times New Roman"/>
          <w:color w:val="000000"/>
          <w:lang w:bidi="ar"/>
        </w:rPr>
        <w:t>6.25</w:t>
      </w:r>
      <w:r>
        <w:rPr>
          <w:rFonts w:ascii="Times New Roman" w:hAnsi="Times New Roman" w:cs="Times New Roman"/>
          <w:color w:val="000000"/>
          <w:lang w:bidi="ar"/>
        </w:rPr>
        <w:t>%</w:t>
      </w:r>
      <w:r>
        <w:rPr>
          <w:rFonts w:hint="eastAsia" w:ascii="Times New Roman" w:hAnsi="Times New Roman" w:cs="Times New Roman"/>
          <w:color w:val="000000"/>
          <w:lang w:bidi="ar"/>
        </w:rPr>
        <w:t>。</w:t>
      </w:r>
      <w:r>
        <w:rPr>
          <w:rFonts w:hint="eastAsia" w:ascii="Times New Roman" w:hAnsi="Times New Roman"/>
          <w:color w:val="000000"/>
          <w:lang w:bidi="ar"/>
        </w:rPr>
        <w:t>其化学需氧量、氨氮、总氮和总磷排放量分别占全省农业源</w:t>
      </w:r>
      <w:r>
        <w:rPr>
          <w:rFonts w:ascii="Times New Roman" w:hAnsi="Times New Roman"/>
        </w:rPr>
        <w:t>水污染物排放量</w:t>
      </w:r>
      <w:r>
        <w:rPr>
          <w:rFonts w:hint="eastAsia" w:ascii="Times New Roman" w:hAnsi="Times New Roman"/>
          <w:color w:val="000000"/>
          <w:lang w:bidi="ar"/>
        </w:rPr>
        <w:t>的</w:t>
      </w:r>
      <w:r>
        <w:rPr>
          <w:rFonts w:hint="eastAsia" w:ascii="Times New Roman" w:hAnsi="Times New Roman" w:cs="Times New Roman"/>
          <w:color w:val="000000"/>
          <w:lang w:bidi="ar"/>
        </w:rPr>
        <w:t>24.67</w:t>
      </w:r>
      <w:r>
        <w:rPr>
          <w:rFonts w:ascii="Times New Roman" w:hAnsi="Times New Roman" w:cs="Times New Roman"/>
          <w:color w:val="000000"/>
          <w:lang w:bidi="ar"/>
        </w:rPr>
        <w:t>%</w:t>
      </w:r>
      <w:r>
        <w:rPr>
          <w:rFonts w:hint="eastAsia" w:ascii="Times New Roman" w:hAnsi="Times New Roman"/>
          <w:color w:val="000000"/>
          <w:lang w:bidi="ar"/>
        </w:rPr>
        <w:t>、</w:t>
      </w:r>
      <w:r>
        <w:rPr>
          <w:rFonts w:hint="eastAsia" w:ascii="Times New Roman" w:hAnsi="Times New Roman" w:cs="Times New Roman"/>
          <w:color w:val="000000"/>
          <w:lang w:bidi="ar"/>
        </w:rPr>
        <w:t>15.66</w:t>
      </w:r>
      <w:r>
        <w:rPr>
          <w:rFonts w:ascii="Times New Roman" w:hAnsi="Times New Roman" w:cs="Times New Roman"/>
          <w:color w:val="000000"/>
          <w:lang w:bidi="ar"/>
        </w:rPr>
        <w:t>%</w:t>
      </w:r>
      <w:r>
        <w:rPr>
          <w:rFonts w:hint="eastAsia" w:ascii="Times New Roman" w:hAnsi="Times New Roman"/>
          <w:color w:val="000000"/>
          <w:lang w:bidi="ar"/>
        </w:rPr>
        <w:t>、</w:t>
      </w:r>
      <w:r>
        <w:rPr>
          <w:rFonts w:hint="eastAsia" w:ascii="Times New Roman" w:hAnsi="Times New Roman" w:cs="Times New Roman"/>
          <w:color w:val="000000"/>
          <w:lang w:bidi="ar"/>
        </w:rPr>
        <w:t>8.84</w:t>
      </w:r>
      <w:r>
        <w:rPr>
          <w:rFonts w:ascii="Times New Roman" w:hAnsi="Times New Roman" w:cs="Times New Roman"/>
          <w:color w:val="000000"/>
          <w:lang w:bidi="ar"/>
        </w:rPr>
        <w:t>%</w:t>
      </w:r>
      <w:r>
        <w:rPr>
          <w:rFonts w:hint="eastAsia" w:ascii="Times New Roman" w:hAnsi="Times New Roman"/>
          <w:color w:val="000000"/>
          <w:lang w:bidi="ar"/>
        </w:rPr>
        <w:t>和</w:t>
      </w:r>
      <w:r>
        <w:rPr>
          <w:rFonts w:hint="eastAsia" w:ascii="Times New Roman" w:hAnsi="Times New Roman" w:cs="Times New Roman"/>
          <w:color w:val="000000"/>
          <w:lang w:bidi="ar"/>
        </w:rPr>
        <w:t>9.56</w:t>
      </w:r>
      <w:r>
        <w:rPr>
          <w:rFonts w:ascii="Times New Roman" w:hAnsi="Times New Roman" w:cs="Times New Roman"/>
          <w:color w:val="000000"/>
          <w:lang w:bidi="ar"/>
        </w:rPr>
        <w:t>%</w:t>
      </w:r>
      <w:r>
        <w:rPr>
          <w:rFonts w:hint="eastAsia" w:ascii="Times New Roman" w:hAnsi="Times New Roman" w:cs="Times New Roman"/>
          <w:color w:val="000000"/>
          <w:lang w:bidi="ar"/>
        </w:rPr>
        <w:t>。</w:t>
      </w:r>
    </w:p>
    <w:p w14:paraId="6D4C4FF7">
      <w:pPr>
        <w:widowControl/>
        <w:jc w:val="left"/>
        <w:rPr>
          <w:rFonts w:ascii="Times New Roman" w:hAnsi="Times New Roman"/>
          <w:color w:val="000000"/>
          <w:lang w:bidi="ar"/>
        </w:rPr>
      </w:pPr>
      <w:r>
        <w:rPr>
          <w:rFonts w:hint="eastAsia" w:ascii="Times New Roman" w:hAnsi="Times New Roman"/>
          <w:color w:val="000000"/>
          <w:lang w:bidi="ar"/>
        </w:rPr>
        <w:t>由此可见，我省水产养殖业最主要的污染因子为化学需氧量、总氮、总磷，水产养殖造成的环境影响对总体环境污染的贡献率处于较低水平，但与当前生态环境治理要求仍有一定差距，需要进一步完善技术和管理措施减少对环境的影响。</w:t>
      </w:r>
    </w:p>
    <w:p w14:paraId="23A49CC9">
      <w:pPr>
        <w:widowControl/>
        <w:jc w:val="left"/>
        <w:rPr>
          <w:rFonts w:ascii="Times New Roman" w:hAnsi="Times New Roman"/>
          <w:color w:val="000000"/>
          <w:lang w:bidi="ar"/>
        </w:rPr>
      </w:pPr>
      <w:r>
        <w:rPr>
          <w:rFonts w:hint="eastAsia" w:ascii="Times New Roman" w:hAnsi="Times New Roman"/>
          <w:color w:val="000000"/>
          <w:lang w:bidi="ar"/>
        </w:rPr>
        <w:t>（3）水产养殖尾水排放已对局部水环境造成较大压力</w:t>
      </w:r>
    </w:p>
    <w:p w14:paraId="7D1F8DC7">
      <w:pPr>
        <w:widowControl/>
        <w:jc w:val="left"/>
        <w:rPr>
          <w:rFonts w:ascii="Times New Roman" w:hAnsi="Times New Roman"/>
          <w:color w:val="000000"/>
          <w:lang w:bidi="ar"/>
        </w:rPr>
      </w:pPr>
      <w:r>
        <w:rPr>
          <w:rFonts w:hint="eastAsia" w:ascii="Times New Roman" w:hAnsi="Times New Roman"/>
          <w:color w:val="000000"/>
          <w:lang w:bidi="ar"/>
        </w:rPr>
        <w:t>从</w:t>
      </w:r>
      <w:r>
        <w:rPr>
          <w:rFonts w:hint="eastAsia" w:ascii="Times New Roman" w:hAnsi="Times New Roman" w:cs="Times New Roman"/>
          <w:color w:val="000000"/>
          <w:lang w:bidi="ar"/>
        </w:rPr>
        <w:t>前</w:t>
      </w:r>
      <w:r>
        <w:rPr>
          <w:rFonts w:hint="eastAsia" w:ascii="Times New Roman" w:hAnsi="Times New Roman"/>
          <w:color w:val="000000"/>
          <w:lang w:bidi="ar"/>
        </w:rPr>
        <w:t>节可知，虽然水产养殖尾水排放占农业源总体比例不高，但是对收集的数据分析后可知，在局部区域，水产养殖尾水已对地表水和近岸环境造成较大压力。根据现场调研情况，结合相关工作进展的基础上，发现部分重点流域水产养殖污染问题突出，部分国考断面上游及支流沿岸分布大量水产养殖，养殖尾水未经处理直排严重影响断面水质，问题较为突出。</w:t>
      </w:r>
    </w:p>
    <w:p w14:paraId="3E8F056D">
      <w:pPr>
        <w:widowControl/>
        <w:jc w:val="left"/>
        <w:rPr>
          <w:rFonts w:ascii="Times New Roman" w:hAnsi="Times New Roman"/>
          <w:color w:val="000000"/>
          <w:lang w:bidi="ar"/>
        </w:rPr>
      </w:pPr>
      <w:r>
        <w:rPr>
          <w:rFonts w:hint="eastAsia" w:ascii="Times New Roman" w:hAnsi="Times New Roman"/>
          <w:color w:val="000000"/>
          <w:lang w:bidi="ar"/>
        </w:rPr>
        <w:t>（4）行业污染防治技术的最新进展</w:t>
      </w:r>
    </w:p>
    <w:p w14:paraId="0FD00370">
      <w:pPr>
        <w:widowControl/>
        <w:jc w:val="left"/>
        <w:rPr>
          <w:rFonts w:ascii="Times New Roman" w:hAnsi="Times New Roman"/>
          <w:color w:val="000000"/>
          <w:lang w:bidi="ar"/>
        </w:rPr>
      </w:pPr>
      <w:r>
        <w:rPr>
          <w:rFonts w:hint="eastAsia" w:ascii="Times New Roman" w:hAnsi="Times New Roman"/>
          <w:color w:val="000000"/>
          <w:lang w:bidi="ar"/>
        </w:rPr>
        <w:t>对于渔业养殖行业来说，污染防治技术主要指尾水治理技术。近年来，全省各地围绕“提质增效、减量增收、绿色发展、富裕渔民”的目标，为了养殖尾水达标排放，采用了多种因地制宜、各具特色的处理措施，如：三池两坝、多级净化、多品种生态混养、鱼菜共生、池塘底排污、池塘内循环生态养殖、稻渔综合种养、浮性饲料投喂、生物絮团、微生态制剂调水以及在线监测控制等，这些技术的应用为渔业绿色发展提供了强有力的支撑服务，在我省大多数地区都有一定规模的推广应用。</w:t>
      </w:r>
    </w:p>
    <w:p w14:paraId="3A209530">
      <w:pPr>
        <w:pStyle w:val="22"/>
        <w:spacing w:line="360" w:lineRule="auto"/>
        <w:rPr>
          <w:rFonts w:ascii="Times New Roman" w:hAnsi="Times New Roman"/>
          <w:lang w:bidi="ar"/>
        </w:rPr>
      </w:pPr>
      <w:bookmarkStart w:id="21" w:name="_Toc186557549"/>
      <w:bookmarkStart w:id="22" w:name="_Toc170888049"/>
      <w:bookmarkStart w:id="23" w:name="_Hlk168991592"/>
      <w:r>
        <w:rPr>
          <w:rFonts w:hint="eastAsia" w:ascii="Times New Roman" w:hAnsi="Times New Roman" w:eastAsia="黑体"/>
          <w:b w:val="0"/>
          <w:bCs w:val="0"/>
          <w:sz w:val="24"/>
          <w:szCs w:val="28"/>
        </w:rPr>
        <w:t>3.3 相关先进技术的指导性文件</w:t>
      </w:r>
      <w:bookmarkEnd w:id="21"/>
      <w:bookmarkEnd w:id="22"/>
    </w:p>
    <w:bookmarkEnd w:id="23"/>
    <w:p w14:paraId="0F082071">
      <w:pPr>
        <w:widowControl/>
        <w:jc w:val="left"/>
        <w:rPr>
          <w:rFonts w:ascii="Times New Roman" w:hAnsi="Times New Roman"/>
        </w:rPr>
      </w:pPr>
      <w:r>
        <w:rPr>
          <w:rFonts w:hint="eastAsia" w:ascii="Times New Roman" w:hAnsi="Times New Roman"/>
          <w:color w:val="000000"/>
          <w:lang w:bidi="ar"/>
        </w:rPr>
        <w:t>（1）《关于加快推进水产养殖业绿色发展的若干意见》（农业农村部等十部委，农渔发[</w:t>
      </w:r>
      <w:r>
        <w:rPr>
          <w:rFonts w:ascii="Times New Roman" w:hAnsi="Times New Roman" w:cs="Times New Roman"/>
          <w:color w:val="000000"/>
          <w:lang w:bidi="ar"/>
        </w:rPr>
        <w:t>2019</w:t>
      </w:r>
      <w:r>
        <w:rPr>
          <w:rFonts w:hint="eastAsia" w:ascii="Times New Roman" w:hAnsi="Times New Roman"/>
          <w:color w:val="000000"/>
          <w:lang w:bidi="ar"/>
        </w:rPr>
        <w:t>]</w:t>
      </w:r>
      <w:r>
        <w:rPr>
          <w:rFonts w:ascii="Times New Roman" w:hAnsi="Times New Roman" w:cs="Times New Roman"/>
          <w:color w:val="000000"/>
          <w:lang w:bidi="ar"/>
        </w:rPr>
        <w:t xml:space="preserve">1 </w:t>
      </w:r>
      <w:r>
        <w:rPr>
          <w:rFonts w:hint="eastAsia" w:ascii="Times New Roman" w:hAnsi="Times New Roman"/>
          <w:color w:val="000000"/>
          <w:lang w:bidi="ar"/>
        </w:rPr>
        <w:t>号）；</w:t>
      </w:r>
    </w:p>
    <w:p w14:paraId="45D145E6">
      <w:pPr>
        <w:widowControl/>
        <w:jc w:val="left"/>
        <w:rPr>
          <w:rFonts w:ascii="Times New Roman" w:hAnsi="Times New Roman"/>
        </w:rPr>
      </w:pPr>
      <w:r>
        <w:rPr>
          <w:rFonts w:hint="eastAsia" w:ascii="Times New Roman" w:hAnsi="Times New Roman"/>
          <w:color w:val="000000"/>
          <w:lang w:bidi="ar"/>
        </w:rPr>
        <w:t xml:space="preserve">（2）《农业农村部办公厅关于发布 </w:t>
      </w:r>
      <w:r>
        <w:rPr>
          <w:rFonts w:ascii="Times New Roman" w:hAnsi="Times New Roman" w:cs="Times New Roman"/>
          <w:color w:val="000000"/>
          <w:lang w:bidi="ar"/>
        </w:rPr>
        <w:t xml:space="preserve">2019 </w:t>
      </w:r>
      <w:r>
        <w:rPr>
          <w:rFonts w:hint="eastAsia" w:ascii="Times New Roman" w:hAnsi="Times New Roman"/>
          <w:color w:val="000000"/>
          <w:lang w:bidi="ar"/>
        </w:rPr>
        <w:t>年农业主推技术的通知》（农业农村部，农办科[</w:t>
      </w:r>
      <w:r>
        <w:rPr>
          <w:rFonts w:ascii="Times New Roman" w:hAnsi="Times New Roman" w:cs="Times New Roman"/>
          <w:color w:val="000000"/>
          <w:lang w:bidi="ar"/>
        </w:rPr>
        <w:t>2019</w:t>
      </w:r>
      <w:r>
        <w:rPr>
          <w:rFonts w:hint="eastAsia" w:ascii="Times New Roman" w:hAnsi="Times New Roman"/>
          <w:color w:val="000000"/>
          <w:lang w:bidi="ar"/>
        </w:rPr>
        <w:t>]</w:t>
      </w:r>
      <w:r>
        <w:rPr>
          <w:rFonts w:ascii="Times New Roman" w:hAnsi="Times New Roman" w:cs="Times New Roman"/>
          <w:color w:val="000000"/>
          <w:lang w:bidi="ar"/>
        </w:rPr>
        <w:t xml:space="preserve">22 </w:t>
      </w:r>
      <w:r>
        <w:rPr>
          <w:rFonts w:hint="eastAsia" w:ascii="Times New Roman" w:hAnsi="Times New Roman"/>
          <w:color w:val="000000"/>
          <w:lang w:bidi="ar"/>
        </w:rPr>
        <w:t>号）；</w:t>
      </w:r>
    </w:p>
    <w:p w14:paraId="087360E6">
      <w:pPr>
        <w:widowControl/>
        <w:jc w:val="left"/>
        <w:rPr>
          <w:rFonts w:ascii="Times New Roman" w:hAnsi="Times New Roman"/>
          <w:color w:val="000000"/>
          <w:lang w:bidi="ar"/>
        </w:rPr>
      </w:pPr>
      <w:r>
        <w:rPr>
          <w:rFonts w:hint="eastAsia" w:ascii="Times New Roman" w:hAnsi="Times New Roman"/>
          <w:color w:val="000000"/>
          <w:lang w:bidi="ar"/>
        </w:rPr>
        <w:t>（3）《池塘养殖尾水生态治理技术规范》（</w:t>
      </w:r>
      <w:r>
        <w:rPr>
          <w:rFonts w:hint="eastAsia" w:ascii="Times New Roman" w:hAnsi="Times New Roman" w:cs="Times New Roman"/>
        </w:rPr>
        <w:t>DB32/T4725-2024</w:t>
      </w:r>
      <w:r>
        <w:rPr>
          <w:rFonts w:hint="eastAsia" w:ascii="Times New Roman" w:hAnsi="Times New Roman"/>
          <w:color w:val="000000"/>
          <w:lang w:bidi="ar"/>
        </w:rPr>
        <w:t>）。</w:t>
      </w:r>
    </w:p>
    <w:p w14:paraId="4D5910F3">
      <w:pPr>
        <w:widowControl/>
        <w:jc w:val="left"/>
        <w:rPr>
          <w:rFonts w:ascii="Times New Roman" w:hAnsi="Times New Roman"/>
        </w:rPr>
      </w:pPr>
      <w:r>
        <w:rPr>
          <w:rFonts w:hint="eastAsia" w:ascii="Times New Roman" w:hAnsi="Times New Roman"/>
          <w:color w:val="000000"/>
          <w:lang w:bidi="ar"/>
        </w:rPr>
        <w:t>（4）现行技术规范标准存在的主要问题</w:t>
      </w:r>
    </w:p>
    <w:p w14:paraId="6CEC195C">
      <w:pPr>
        <w:widowControl/>
        <w:jc w:val="left"/>
        <w:rPr>
          <w:rFonts w:ascii="Times New Roman" w:hAnsi="Times New Roman"/>
          <w:color w:val="000000"/>
          <w:lang w:bidi="ar"/>
        </w:rPr>
      </w:pPr>
      <w:r>
        <w:rPr>
          <w:rFonts w:hint="eastAsia" w:ascii="Times New Roman" w:hAnsi="Times New Roman"/>
          <w:color w:val="000000"/>
          <w:lang w:bidi="ar"/>
        </w:rPr>
        <w:t>在调研过程中发现，现行技术规范标准较为宽泛，不能满足我省渔业养殖尾水处理技术的现状需求。目前，江苏省发布了《池塘养殖尾水排放标准</w:t>
      </w:r>
      <w:r>
        <w:rPr>
          <w:rFonts w:ascii="Times New Roman" w:hAnsi="Times New Roman"/>
          <w:color w:val="000000"/>
          <w:lang w:bidi="ar"/>
        </w:rPr>
        <w:t>DB32/4043-2021》</w:t>
      </w:r>
      <w:r>
        <w:rPr>
          <w:rFonts w:hint="eastAsia" w:ascii="Times New Roman" w:hAnsi="Times New Roman"/>
          <w:color w:val="000000"/>
          <w:lang w:bidi="ar"/>
        </w:rPr>
        <w:t>，本项目拟建立渔业养殖尾水“微生物</w:t>
      </w:r>
      <w:r>
        <w:rPr>
          <w:rFonts w:ascii="Times New Roman" w:hAnsi="Times New Roman"/>
          <w:color w:val="000000"/>
          <w:lang w:bidi="ar"/>
        </w:rPr>
        <w:t>+生态处理”技术规范标准，</w:t>
      </w:r>
      <w:r>
        <w:rPr>
          <w:rFonts w:hint="eastAsia" w:ascii="Times New Roman" w:hAnsi="Times New Roman"/>
          <w:color w:val="000000"/>
          <w:lang w:bidi="ar"/>
        </w:rPr>
        <w:t>与江苏省协调配套，作为可行技术支撑相关排污单位达标排放。本标准主要强调微生物的作用，进一步细化处理工艺流程、设施和相关参数，是同类标准规定内容的进一步补充。</w:t>
      </w:r>
    </w:p>
    <w:p w14:paraId="3895CB85">
      <w:pPr>
        <w:widowControl/>
        <w:jc w:val="left"/>
        <w:rPr>
          <w:rFonts w:ascii="Times New Roman" w:hAnsi="Times New Roman"/>
          <w:color w:val="000000"/>
          <w:lang w:bidi="ar"/>
        </w:rPr>
      </w:pPr>
      <w:r>
        <w:rPr>
          <w:rFonts w:ascii="Times New Roman" w:hAnsi="Times New Roman"/>
          <w:color w:val="000000"/>
          <w:lang w:bidi="ar"/>
        </w:rPr>
        <w:t>该标准的制定与实施将有助于规范渔业养殖尾水处理设施设计、实施、运行维护，有助于渔业养殖业主的规范化管理，有助于政府和市民对行业的监管与考核</w:t>
      </w:r>
      <w:r>
        <w:rPr>
          <w:rFonts w:hint="eastAsia" w:ascii="Times New Roman" w:hAnsi="Times New Roman"/>
          <w:color w:val="000000"/>
          <w:lang w:bidi="ar"/>
        </w:rPr>
        <w:t>。</w:t>
      </w:r>
    </w:p>
    <w:p w14:paraId="65AD72C6">
      <w:pPr>
        <w:pStyle w:val="17"/>
        <w:spacing w:line="360" w:lineRule="auto"/>
        <w:rPr>
          <w:rFonts w:ascii="Times New Roman" w:hAnsi="Times New Roman" w:eastAsia="黑体"/>
          <w:b w:val="0"/>
          <w:bCs w:val="0"/>
          <w:sz w:val="24"/>
          <w:szCs w:val="36"/>
        </w:rPr>
      </w:pPr>
      <w:bookmarkStart w:id="24" w:name="_Toc186557550"/>
      <w:bookmarkStart w:id="25" w:name="_Toc170888050"/>
      <w:bookmarkStart w:id="26" w:name="_Hlk168992653"/>
      <w:r>
        <w:rPr>
          <w:rFonts w:hint="eastAsia" w:ascii="Times New Roman" w:hAnsi="Times New Roman" w:eastAsia="黑体"/>
          <w:b w:val="0"/>
          <w:bCs w:val="0"/>
          <w:sz w:val="24"/>
          <w:szCs w:val="36"/>
        </w:rPr>
        <w:t>4 标准制订的原则</w:t>
      </w:r>
      <w:bookmarkEnd w:id="24"/>
      <w:bookmarkEnd w:id="25"/>
    </w:p>
    <w:p w14:paraId="4A18FE61">
      <w:pPr>
        <w:pStyle w:val="22"/>
        <w:spacing w:line="360" w:lineRule="auto"/>
        <w:rPr>
          <w:rFonts w:ascii="Times New Roman" w:hAnsi="Times New Roman" w:eastAsia="黑体"/>
          <w:b w:val="0"/>
          <w:bCs w:val="0"/>
          <w:sz w:val="24"/>
          <w:szCs w:val="28"/>
        </w:rPr>
      </w:pPr>
      <w:bookmarkStart w:id="27" w:name="_Toc170888051"/>
      <w:bookmarkStart w:id="28" w:name="_Toc186557551"/>
      <w:r>
        <w:rPr>
          <w:rFonts w:hint="eastAsia" w:ascii="Times New Roman" w:hAnsi="Times New Roman" w:eastAsia="黑体"/>
          <w:b w:val="0"/>
          <w:bCs w:val="0"/>
          <w:sz w:val="24"/>
          <w:szCs w:val="28"/>
        </w:rPr>
        <w:t>4.1 基本原则</w:t>
      </w:r>
      <w:bookmarkEnd w:id="27"/>
      <w:bookmarkEnd w:id="28"/>
    </w:p>
    <w:bookmarkEnd w:id="26"/>
    <w:p w14:paraId="3BE3B105">
      <w:pPr>
        <w:shd w:val="clear" w:color="auto" w:fill="auto"/>
        <w:autoSpaceDE/>
        <w:autoSpaceDN/>
        <w:rPr>
          <w:rFonts w:ascii="Times New Roman" w:hAnsi="Times New Roman" w:cs="Times New Roman"/>
          <w:kern w:val="2"/>
        </w:rPr>
      </w:pPr>
      <w:r>
        <w:rPr>
          <w:rFonts w:hint="eastAsia" w:ascii="Times New Roman" w:hAnsi="Times New Roman" w:cs="Times New Roman"/>
          <w:kern w:val="2"/>
        </w:rPr>
        <w:t>合法</w:t>
      </w:r>
      <w:r>
        <w:rPr>
          <w:rFonts w:ascii="Times New Roman" w:hAnsi="Times New Roman" w:cs="Times New Roman"/>
          <w:kern w:val="2"/>
        </w:rPr>
        <w:t>性：严格贯彻国家有关方针、政策、法规和规章，严格执行强制性国家标准和行业标准，避免与正在制定或已经制定的其他农业或国家标准发生技术冲突。</w:t>
      </w:r>
    </w:p>
    <w:p w14:paraId="290AE83B">
      <w:pPr>
        <w:shd w:val="clear" w:color="auto" w:fill="auto"/>
        <w:autoSpaceDE/>
        <w:autoSpaceDN/>
        <w:rPr>
          <w:rFonts w:ascii="Times New Roman" w:hAnsi="Times New Roman" w:cs="Times New Roman"/>
          <w:kern w:val="2"/>
        </w:rPr>
      </w:pPr>
      <w:r>
        <w:rPr>
          <w:rFonts w:hint="eastAsia" w:ascii="Times New Roman" w:hAnsi="Times New Roman" w:cs="Times New Roman"/>
          <w:kern w:val="2"/>
        </w:rPr>
        <w:t>科学</w:t>
      </w:r>
      <w:r>
        <w:rPr>
          <w:rFonts w:ascii="Times New Roman" w:hAnsi="Times New Roman" w:cs="Times New Roman"/>
          <w:kern w:val="2"/>
        </w:rPr>
        <w:t>性：结合国内生产管理规定及产业发展现状与趋势，编制过程中以反映科学技术的先进成果和先进经验，使各项技术指标满足要求，确保标准既能保持技术上的先进性和经济上的合理性。</w:t>
      </w:r>
    </w:p>
    <w:p w14:paraId="227BE9FD">
      <w:pPr>
        <w:shd w:val="clear" w:color="auto" w:fill="auto"/>
        <w:autoSpaceDE/>
        <w:autoSpaceDN/>
        <w:rPr>
          <w:rFonts w:ascii="Times New Roman" w:hAnsi="Times New Roman" w:cs="Times New Roman"/>
          <w:kern w:val="2"/>
        </w:rPr>
      </w:pPr>
      <w:r>
        <w:rPr>
          <w:rFonts w:ascii="Times New Roman" w:hAnsi="Times New Roman" w:cs="Times New Roman"/>
          <w:kern w:val="2"/>
        </w:rPr>
        <w:t>实用性：</w:t>
      </w:r>
      <w:r>
        <w:rPr>
          <w:rFonts w:hint="eastAsia" w:ascii="Times New Roman" w:hAnsi="Times New Roman" w:cs="Times New Roman"/>
          <w:kern w:val="2"/>
        </w:rPr>
        <w:t>团体标准的制订应充分考虑市场需求和实际应用情况，确保标准的实用性和可操作性，标准的内容应简明扼要、易于理解，方便用户使用。</w:t>
      </w:r>
    </w:p>
    <w:p w14:paraId="06CC5E7D">
      <w:pPr>
        <w:shd w:val="clear" w:color="auto" w:fill="auto"/>
        <w:autoSpaceDE/>
        <w:autoSpaceDN/>
        <w:rPr>
          <w:rFonts w:ascii="Times New Roman" w:hAnsi="Times New Roman" w:cs="Times New Roman"/>
          <w:kern w:val="2"/>
        </w:rPr>
      </w:pPr>
      <w:r>
        <w:rPr>
          <w:rFonts w:ascii="Times New Roman" w:hAnsi="Times New Roman" w:cs="Times New Roman"/>
          <w:kern w:val="2"/>
        </w:rPr>
        <w:t>规范性：编写规则及表述等要求主要依据《标准化工作导则 第1部分：标准化文件的结构和起草规则》（GB/T 1.1-2020）。标准的构成严谨合理，内容编排、层次划分等符合逻辑与规定。</w:t>
      </w:r>
    </w:p>
    <w:p w14:paraId="69519123">
      <w:pPr>
        <w:shd w:val="clear" w:color="auto" w:fill="auto"/>
        <w:autoSpaceDE/>
        <w:autoSpaceDN/>
        <w:ind w:firstLine="0" w:firstLineChars="0"/>
        <w:outlineLvl w:val="1"/>
        <w:rPr>
          <w:rFonts w:ascii="Times New Roman" w:hAnsi="Times New Roman" w:eastAsia="黑体" w:cs="Times New Roman"/>
          <w:kern w:val="2"/>
        </w:rPr>
      </w:pPr>
      <w:bookmarkStart w:id="29" w:name="_Toc170888052"/>
      <w:bookmarkStart w:id="30" w:name="_Toc186557552"/>
      <w:bookmarkStart w:id="31" w:name="_Toc144305316"/>
      <w:r>
        <w:rPr>
          <w:rFonts w:hint="eastAsia" w:ascii="Times New Roman" w:hAnsi="Times New Roman" w:eastAsia="黑体" w:cs="Times New Roman"/>
          <w:kern w:val="2"/>
        </w:rPr>
        <w:t>4</w:t>
      </w:r>
      <w:r>
        <w:rPr>
          <w:rFonts w:ascii="Times New Roman" w:hAnsi="Times New Roman" w:eastAsia="黑体" w:cs="Times New Roman"/>
          <w:kern w:val="2"/>
        </w:rPr>
        <w:t>.2编制依据</w:t>
      </w:r>
      <w:bookmarkEnd w:id="29"/>
      <w:bookmarkEnd w:id="30"/>
      <w:bookmarkEnd w:id="31"/>
    </w:p>
    <w:p w14:paraId="7939E09A">
      <w:pPr>
        <w:shd w:val="clear" w:color="auto" w:fill="auto"/>
        <w:autoSpaceDE/>
        <w:autoSpaceDN/>
        <w:rPr>
          <w:rFonts w:ascii="Times New Roman" w:hAnsi="Times New Roman" w:cs="Times New Roman"/>
          <w:kern w:val="2"/>
        </w:rPr>
      </w:pPr>
      <w:bookmarkStart w:id="32" w:name="BookMark8"/>
      <w:bookmarkStart w:id="33" w:name="_Hlk87847914"/>
      <w:r>
        <w:rPr>
          <w:rFonts w:hint="eastAsia" w:ascii="Times New Roman" w:hAnsi="Times New Roman" w:cs="Times New Roman"/>
          <w:kern w:val="2"/>
        </w:rPr>
        <w:t>（1）</w:t>
      </w:r>
      <w:r>
        <w:rPr>
          <w:rFonts w:ascii="Times New Roman" w:hAnsi="Times New Roman" w:cs="Times New Roman"/>
          <w:kern w:val="2"/>
        </w:rPr>
        <w:t>DB32/T 3238  淡水池塘循环水健康养殖三级净化技术操作规程</w:t>
      </w:r>
    </w:p>
    <w:p w14:paraId="3C6A5B92">
      <w:pPr>
        <w:shd w:val="clear" w:color="auto" w:fill="auto"/>
        <w:autoSpaceDE/>
        <w:autoSpaceDN/>
        <w:rPr>
          <w:rFonts w:ascii="Times New Roman" w:hAnsi="Times New Roman" w:cs="Times New Roman"/>
          <w:kern w:val="2"/>
        </w:rPr>
      </w:pPr>
      <w:r>
        <w:rPr>
          <w:rFonts w:hint="eastAsia" w:ascii="Times New Roman" w:hAnsi="Times New Roman" w:cs="Times New Roman"/>
          <w:kern w:val="2"/>
        </w:rPr>
        <w:t>（2）</w:t>
      </w:r>
      <w:r>
        <w:rPr>
          <w:rFonts w:ascii="Times New Roman" w:hAnsi="Times New Roman" w:cs="Times New Roman"/>
          <w:kern w:val="2"/>
        </w:rPr>
        <w:t>DB3205/T 209  渔业养殖尾水生态处理技术规范</w:t>
      </w:r>
    </w:p>
    <w:p w14:paraId="5747D1F8">
      <w:pPr>
        <w:shd w:val="clear" w:color="auto" w:fill="auto"/>
        <w:autoSpaceDE/>
        <w:autoSpaceDN/>
        <w:rPr>
          <w:rFonts w:ascii="Times New Roman" w:hAnsi="Times New Roman" w:cs="Times New Roman"/>
          <w:kern w:val="2"/>
        </w:rPr>
      </w:pPr>
      <w:r>
        <w:rPr>
          <w:rFonts w:hint="eastAsia" w:ascii="Times New Roman" w:hAnsi="Times New Roman" w:cs="Times New Roman"/>
          <w:kern w:val="2"/>
        </w:rPr>
        <w:t>（3）</w:t>
      </w:r>
      <w:r>
        <w:rPr>
          <w:rFonts w:ascii="Times New Roman" w:hAnsi="Times New Roman" w:cs="Times New Roman"/>
          <w:kern w:val="2"/>
        </w:rPr>
        <w:t>DB3401/T 203-2020 水产养殖尾水生态处理技术规范</w:t>
      </w:r>
    </w:p>
    <w:p w14:paraId="794F0071">
      <w:pPr>
        <w:shd w:val="clear" w:color="auto" w:fill="auto"/>
        <w:autoSpaceDE/>
        <w:autoSpaceDN/>
        <w:rPr>
          <w:rFonts w:ascii="Times New Roman" w:hAnsi="Times New Roman" w:cs="Times New Roman"/>
          <w:kern w:val="2"/>
        </w:rPr>
      </w:pPr>
      <w:r>
        <w:rPr>
          <w:rFonts w:hint="eastAsia" w:ascii="Times New Roman" w:hAnsi="Times New Roman" w:cs="Times New Roman"/>
          <w:kern w:val="2"/>
        </w:rPr>
        <w:t>（4）</w:t>
      </w:r>
      <w:r>
        <w:rPr>
          <w:rFonts w:ascii="Times New Roman" w:hAnsi="Times New Roman" w:cs="Times New Roman"/>
          <w:kern w:val="2"/>
        </w:rPr>
        <w:t>DB33/T 2288-2020 淡水池塘养殖尾水处理技术规范</w:t>
      </w:r>
    </w:p>
    <w:p w14:paraId="66D0D7B9">
      <w:pPr>
        <w:shd w:val="clear" w:color="auto" w:fill="auto"/>
        <w:autoSpaceDE/>
        <w:autoSpaceDN/>
        <w:rPr>
          <w:rFonts w:ascii="Times New Roman" w:hAnsi="Times New Roman" w:cs="Times New Roman"/>
          <w:kern w:val="2"/>
        </w:rPr>
      </w:pPr>
      <w:r>
        <w:rPr>
          <w:rFonts w:hint="eastAsia" w:ascii="Times New Roman" w:hAnsi="Times New Roman" w:cs="Times New Roman"/>
          <w:kern w:val="2"/>
        </w:rPr>
        <w:t>（5）《</w:t>
      </w:r>
      <w:r>
        <w:rPr>
          <w:rFonts w:ascii="Times New Roman" w:hAnsi="Times New Roman" w:cs="Times New Roman"/>
          <w:kern w:val="2"/>
        </w:rPr>
        <w:t>水产养殖尾水处理技术模式</w:t>
      </w:r>
      <w:r>
        <w:rPr>
          <w:rFonts w:hint="eastAsia" w:ascii="Times New Roman" w:hAnsi="Times New Roman" w:cs="Times New Roman"/>
          <w:kern w:val="2"/>
        </w:rPr>
        <w:t>》</w:t>
      </w:r>
      <w:r>
        <w:rPr>
          <w:rFonts w:ascii="Times New Roman" w:hAnsi="Times New Roman" w:cs="Times New Roman"/>
          <w:kern w:val="2"/>
        </w:rPr>
        <w:t>全国水产技术推广总站组编，中国农业出版社，2022</w:t>
      </w:r>
    </w:p>
    <w:p w14:paraId="74F0CAF7">
      <w:pPr>
        <w:shd w:val="clear" w:color="auto" w:fill="auto"/>
        <w:autoSpaceDE/>
        <w:autoSpaceDN/>
        <w:rPr>
          <w:rFonts w:ascii="Times New Roman" w:hAnsi="Times New Roman" w:cs="Times New Roman"/>
          <w:kern w:val="2"/>
        </w:rPr>
      </w:pPr>
      <w:r>
        <w:rPr>
          <w:rFonts w:hint="eastAsia" w:ascii="Times New Roman" w:hAnsi="Times New Roman" w:cs="Times New Roman"/>
          <w:kern w:val="2"/>
        </w:rPr>
        <w:t>（6）</w:t>
      </w:r>
      <w:r>
        <w:rPr>
          <w:rFonts w:ascii="Times New Roman" w:hAnsi="Times New Roman" w:cs="Times New Roman"/>
          <w:kern w:val="2"/>
        </w:rPr>
        <w:t>《“十四五”全国渔业发展规划》（农渔发[2021]28号）</w:t>
      </w:r>
    </w:p>
    <w:bookmarkEnd w:id="32"/>
    <w:bookmarkEnd w:id="33"/>
    <w:p w14:paraId="54A7621C">
      <w:pPr>
        <w:pStyle w:val="17"/>
        <w:spacing w:line="360" w:lineRule="auto"/>
        <w:rPr>
          <w:rFonts w:ascii="Times New Roman" w:hAnsi="Times New Roman" w:eastAsia="黑体"/>
          <w:b w:val="0"/>
          <w:bCs w:val="0"/>
          <w:sz w:val="24"/>
          <w:szCs w:val="36"/>
        </w:rPr>
      </w:pPr>
      <w:bookmarkStart w:id="34" w:name="_Toc170888053"/>
      <w:bookmarkStart w:id="35" w:name="_Toc186557553"/>
      <w:r>
        <w:rPr>
          <w:rFonts w:hint="eastAsia" w:ascii="Times New Roman" w:hAnsi="Times New Roman" w:eastAsia="黑体"/>
          <w:b w:val="0"/>
          <w:bCs w:val="0"/>
          <w:sz w:val="24"/>
          <w:szCs w:val="36"/>
        </w:rPr>
        <w:t>5 标准的主要内容及依据</w:t>
      </w:r>
      <w:bookmarkEnd w:id="34"/>
      <w:bookmarkEnd w:id="35"/>
    </w:p>
    <w:p w14:paraId="346BBA18">
      <w:pPr>
        <w:pStyle w:val="22"/>
        <w:spacing w:line="360" w:lineRule="auto"/>
        <w:rPr>
          <w:rFonts w:ascii="Times New Roman" w:hAnsi="Times New Roman" w:eastAsia="黑体"/>
          <w:b w:val="0"/>
          <w:bCs w:val="0"/>
          <w:sz w:val="24"/>
          <w:szCs w:val="28"/>
        </w:rPr>
      </w:pPr>
      <w:bookmarkStart w:id="36" w:name="_Toc170888054"/>
      <w:bookmarkStart w:id="37" w:name="_Toc186557554"/>
      <w:r>
        <w:rPr>
          <w:rFonts w:hint="eastAsia" w:ascii="Times New Roman" w:hAnsi="Times New Roman" w:eastAsia="黑体"/>
          <w:b w:val="0"/>
          <w:bCs w:val="0"/>
          <w:sz w:val="24"/>
          <w:szCs w:val="28"/>
        </w:rPr>
        <w:t>5.1 适用范围</w:t>
      </w:r>
      <w:bookmarkEnd w:id="36"/>
      <w:bookmarkEnd w:id="37"/>
    </w:p>
    <w:p w14:paraId="23CEF01B">
      <w:pPr>
        <w:shd w:val="clear" w:color="auto" w:fill="auto"/>
        <w:autoSpaceDE/>
        <w:autoSpaceDN/>
        <w:rPr>
          <w:rFonts w:ascii="Times New Roman" w:hAnsi="Times New Roman" w:cs="Times New Roman"/>
          <w:kern w:val="2"/>
        </w:rPr>
      </w:pPr>
      <w:bookmarkStart w:id="38" w:name="_Hlk168992993"/>
      <w:r>
        <w:rPr>
          <w:rFonts w:hint="eastAsia" w:ascii="Times New Roman" w:hAnsi="Times New Roman" w:cs="Times New Roman"/>
          <w:kern w:val="2"/>
        </w:rPr>
        <w:t>该技术规范规定了渔业</w:t>
      </w:r>
      <w:r>
        <w:rPr>
          <w:rFonts w:ascii="Times New Roman" w:hAnsi="Times New Roman" w:cs="Times New Roman"/>
          <w:kern w:val="2"/>
        </w:rPr>
        <w:t>养殖尾水</w:t>
      </w:r>
      <w:r>
        <w:rPr>
          <w:rFonts w:hint="eastAsia" w:ascii="Times New Roman" w:hAnsi="Times New Roman" w:cs="Times New Roman"/>
          <w:kern w:val="2"/>
        </w:rPr>
        <w:t>“微生物+生态处理”技术</w:t>
      </w:r>
      <w:r>
        <w:rPr>
          <w:rFonts w:ascii="Times New Roman" w:hAnsi="Times New Roman" w:cs="Times New Roman"/>
          <w:kern w:val="2"/>
        </w:rPr>
        <w:t>规范</w:t>
      </w:r>
      <w:r>
        <w:rPr>
          <w:rFonts w:hint="eastAsia" w:ascii="Times New Roman" w:hAnsi="Times New Roman" w:cs="Times New Roman"/>
          <w:kern w:val="2"/>
        </w:rPr>
        <w:t>的术语和定义、处理设施、生物配置、尾水处理、尾水排放、运行维护等技术要求。适用于规模化渔业养殖尾水生态处理，其他养殖方式可参照使用</w:t>
      </w:r>
      <w:bookmarkEnd w:id="38"/>
      <w:r>
        <w:rPr>
          <w:rFonts w:hint="eastAsia" w:ascii="Times New Roman" w:hAnsi="Times New Roman" w:cs="Times New Roman"/>
          <w:kern w:val="2"/>
        </w:rPr>
        <w:t>。</w:t>
      </w:r>
    </w:p>
    <w:p w14:paraId="54DDF6ED">
      <w:pPr>
        <w:pStyle w:val="22"/>
        <w:spacing w:line="360" w:lineRule="auto"/>
        <w:rPr>
          <w:rFonts w:ascii="Times New Roman" w:hAnsi="Times New Roman" w:eastAsia="黑体"/>
          <w:b w:val="0"/>
          <w:bCs w:val="0"/>
          <w:sz w:val="24"/>
          <w:szCs w:val="28"/>
        </w:rPr>
      </w:pPr>
      <w:bookmarkStart w:id="39" w:name="_Toc170888055"/>
      <w:bookmarkStart w:id="40" w:name="_Toc186557555"/>
      <w:bookmarkStart w:id="41" w:name="_Hlk168994781"/>
      <w:r>
        <w:rPr>
          <w:rFonts w:hint="eastAsia" w:ascii="Times New Roman" w:hAnsi="Times New Roman" w:eastAsia="黑体"/>
          <w:b w:val="0"/>
          <w:bCs w:val="0"/>
          <w:sz w:val="24"/>
          <w:szCs w:val="28"/>
        </w:rPr>
        <w:t>5.2 主要内容</w:t>
      </w:r>
      <w:bookmarkEnd w:id="39"/>
      <w:bookmarkEnd w:id="40"/>
    </w:p>
    <w:bookmarkEnd w:id="41"/>
    <w:p w14:paraId="6256C800">
      <w:pPr>
        <w:shd w:val="clear" w:color="auto" w:fill="auto"/>
        <w:autoSpaceDE/>
        <w:autoSpaceDN/>
        <w:rPr>
          <w:rFonts w:ascii="Times New Roman" w:hAnsi="Times New Roman" w:cs="Times New Roman"/>
          <w:kern w:val="2"/>
        </w:rPr>
      </w:pPr>
      <w:r>
        <w:rPr>
          <w:rFonts w:hint="eastAsia" w:ascii="Times New Roman" w:hAnsi="Times New Roman" w:cs="Times New Roman"/>
          <w:kern w:val="2"/>
        </w:rPr>
        <w:t>本标准框架为：</w:t>
      </w:r>
    </w:p>
    <w:p w14:paraId="3643830A">
      <w:pPr>
        <w:pStyle w:val="18"/>
        <w:numPr>
          <w:ilvl w:val="0"/>
          <w:numId w:val="1"/>
        </w:numPr>
        <w:rPr>
          <w:rFonts w:ascii="Times New Roman" w:hAnsi="Times New Roman" w:eastAsia="宋体" w:cs="Times New Roman"/>
          <w:color w:val="auto"/>
          <w:kern w:val="2"/>
          <w:sz w:val="24"/>
        </w:rPr>
      </w:pPr>
      <w:r>
        <w:rPr>
          <w:rFonts w:ascii="Times New Roman" w:hAnsi="Times New Roman" w:eastAsia="宋体" w:cs="Times New Roman"/>
          <w:color w:val="auto"/>
          <w:kern w:val="2"/>
          <w:sz w:val="24"/>
        </w:rPr>
        <w:t>范围</w:t>
      </w:r>
      <w:r>
        <w:rPr>
          <w:rFonts w:hint="eastAsia" w:ascii="Times New Roman" w:hAnsi="Times New Roman" w:eastAsia="宋体" w:cs="Times New Roman"/>
          <w:color w:val="auto"/>
          <w:kern w:val="2"/>
          <w:sz w:val="24"/>
        </w:rPr>
        <w:t>：本文件适用于规模化渔业养殖尾水生态处理，其他养殖方式可参照使用；</w:t>
      </w:r>
    </w:p>
    <w:p w14:paraId="5706E4B5">
      <w:pPr>
        <w:pStyle w:val="18"/>
        <w:numPr>
          <w:ilvl w:val="0"/>
          <w:numId w:val="1"/>
        </w:numPr>
        <w:rPr>
          <w:rFonts w:ascii="Times New Roman" w:hAnsi="Times New Roman" w:eastAsia="宋体" w:cs="Times New Roman"/>
          <w:color w:val="auto"/>
          <w:kern w:val="2"/>
          <w:sz w:val="24"/>
        </w:rPr>
      </w:pPr>
      <w:r>
        <w:rPr>
          <w:rFonts w:ascii="Times New Roman" w:hAnsi="Times New Roman" w:eastAsia="宋体" w:cs="Times New Roman"/>
          <w:color w:val="auto"/>
          <w:kern w:val="2"/>
          <w:sz w:val="24"/>
        </w:rPr>
        <w:t>规范性引用文件</w:t>
      </w:r>
      <w:r>
        <w:rPr>
          <w:rFonts w:hint="eastAsia" w:ascii="Times New Roman" w:hAnsi="Times New Roman" w:eastAsia="宋体" w:cs="Times New Roman"/>
          <w:color w:val="auto"/>
          <w:kern w:val="2"/>
          <w:sz w:val="24"/>
        </w:rPr>
        <w:t>：主要引用了</w:t>
      </w:r>
      <w:r>
        <w:rPr>
          <w:rFonts w:ascii="Times New Roman" w:hAnsi="Times New Roman" w:eastAsia="宋体" w:cs="Times New Roman"/>
          <w:color w:val="auto"/>
          <w:kern w:val="2"/>
          <w:sz w:val="24"/>
        </w:rPr>
        <w:t>DB32 4043-2021</w:t>
      </w:r>
      <w:r>
        <w:rPr>
          <w:rFonts w:hint="eastAsia" w:ascii="Times New Roman" w:hAnsi="Times New Roman" w:eastAsia="宋体" w:cs="Times New Roman"/>
          <w:color w:val="auto"/>
          <w:kern w:val="2"/>
          <w:sz w:val="24"/>
        </w:rPr>
        <w:t>、</w:t>
      </w:r>
      <w:r>
        <w:rPr>
          <w:rFonts w:ascii="Times New Roman" w:hAnsi="Times New Roman" w:eastAsia="宋体" w:cs="Times New Roman"/>
          <w:color w:val="auto"/>
          <w:kern w:val="2"/>
          <w:sz w:val="24"/>
        </w:rPr>
        <w:t>DB3205/T 209</w:t>
      </w:r>
      <w:r>
        <w:rPr>
          <w:rFonts w:hint="eastAsia" w:ascii="Times New Roman" w:hAnsi="Times New Roman" w:eastAsia="宋体" w:cs="Times New Roman"/>
          <w:color w:val="auto"/>
          <w:kern w:val="2"/>
          <w:sz w:val="24"/>
        </w:rPr>
        <w:t>、</w:t>
      </w:r>
      <w:r>
        <w:rPr>
          <w:rFonts w:ascii="Times New Roman" w:hAnsi="Times New Roman" w:eastAsia="宋体" w:cs="Times New Roman"/>
          <w:color w:val="auto"/>
          <w:kern w:val="2"/>
          <w:sz w:val="24"/>
        </w:rPr>
        <w:t>DB3401/T 203-2020</w:t>
      </w:r>
      <w:r>
        <w:rPr>
          <w:rFonts w:hint="eastAsia" w:ascii="Times New Roman" w:hAnsi="Times New Roman" w:eastAsia="宋体" w:cs="Times New Roman"/>
          <w:color w:val="auto"/>
          <w:kern w:val="2"/>
          <w:sz w:val="24"/>
        </w:rPr>
        <w:t>、</w:t>
      </w:r>
      <w:r>
        <w:rPr>
          <w:rFonts w:ascii="Times New Roman" w:hAnsi="Times New Roman" w:eastAsia="宋体" w:cs="Times New Roman"/>
          <w:color w:val="auto"/>
          <w:kern w:val="2"/>
          <w:sz w:val="24"/>
        </w:rPr>
        <w:t>DB33/T 2288-2020</w:t>
      </w:r>
      <w:r>
        <w:rPr>
          <w:rFonts w:hint="eastAsia" w:ascii="Times New Roman" w:hAnsi="Times New Roman" w:eastAsia="宋体" w:cs="Times New Roman"/>
          <w:color w:val="auto"/>
          <w:kern w:val="2"/>
          <w:sz w:val="24"/>
        </w:rPr>
        <w:t>等养殖尾水排放标准；</w:t>
      </w:r>
    </w:p>
    <w:p w14:paraId="3E80D7EF">
      <w:pPr>
        <w:pStyle w:val="18"/>
        <w:numPr>
          <w:ilvl w:val="0"/>
          <w:numId w:val="1"/>
        </w:numPr>
        <w:rPr>
          <w:rFonts w:ascii="Times New Roman" w:hAnsi="Times New Roman" w:eastAsia="宋体" w:cs="Times New Roman"/>
          <w:color w:val="auto"/>
          <w:kern w:val="2"/>
          <w:sz w:val="24"/>
        </w:rPr>
      </w:pPr>
      <w:r>
        <w:rPr>
          <w:rFonts w:ascii="Times New Roman" w:hAnsi="Times New Roman" w:eastAsia="宋体" w:cs="Times New Roman"/>
          <w:color w:val="auto"/>
          <w:kern w:val="2"/>
          <w:sz w:val="24"/>
        </w:rPr>
        <w:t>术语和定义</w:t>
      </w:r>
      <w:r>
        <w:rPr>
          <w:rFonts w:ascii="Times New Roman" w:hAnsi="Times New Roman" w:eastAsia="宋体" w:cs="Times New Roman"/>
          <w:color w:val="auto"/>
          <w:kern w:val="2"/>
          <w:sz w:val="24"/>
        </w:rPr>
        <w:tab/>
      </w:r>
      <w:r>
        <w:rPr>
          <w:rFonts w:hint="eastAsia" w:ascii="Times New Roman" w:hAnsi="Times New Roman" w:eastAsia="宋体" w:cs="Times New Roman"/>
          <w:color w:val="auto"/>
          <w:kern w:val="2"/>
          <w:sz w:val="24"/>
        </w:rPr>
        <w:t>：涉及一些工艺处理的设施名称；</w:t>
      </w:r>
    </w:p>
    <w:p w14:paraId="6FE8C00B">
      <w:pPr>
        <w:pStyle w:val="18"/>
        <w:numPr>
          <w:ilvl w:val="0"/>
          <w:numId w:val="1"/>
        </w:numPr>
        <w:rPr>
          <w:rFonts w:ascii="Times New Roman" w:hAnsi="Times New Roman" w:eastAsia="宋体" w:cs="Times New Roman"/>
          <w:color w:val="auto"/>
          <w:kern w:val="2"/>
          <w:sz w:val="24"/>
        </w:rPr>
      </w:pPr>
      <w:r>
        <w:rPr>
          <w:rFonts w:ascii="Times New Roman" w:hAnsi="Times New Roman" w:eastAsia="宋体" w:cs="Times New Roman"/>
          <w:color w:val="auto"/>
          <w:kern w:val="2"/>
          <w:sz w:val="24"/>
        </w:rPr>
        <w:t>工艺流程</w:t>
      </w:r>
    </w:p>
    <w:p w14:paraId="4F1C4621">
      <w:pPr>
        <w:pStyle w:val="27"/>
        <w:numPr>
          <w:ilvl w:val="0"/>
          <w:numId w:val="1"/>
        </w:numPr>
        <w:ind w:firstLineChars="0"/>
        <w:rPr>
          <w:rFonts w:ascii="Times New Roman" w:hAnsi="Times New Roman" w:cs="Times New Roman"/>
          <w:kern w:val="2"/>
        </w:rPr>
      </w:pPr>
      <w:r>
        <w:rPr>
          <w:rFonts w:ascii="Times New Roman" w:hAnsi="Times New Roman" w:cs="Times New Roman"/>
          <w:kern w:val="2"/>
        </w:rPr>
        <w:t>处理设施</w:t>
      </w:r>
      <w:r>
        <w:rPr>
          <w:rFonts w:hint="eastAsia" w:ascii="Times New Roman" w:hAnsi="Times New Roman" w:cs="Times New Roman"/>
          <w:kern w:val="2"/>
        </w:rPr>
        <w:t>，主要包括5.2.1 生态截滤坝、</w:t>
      </w:r>
      <w:r>
        <w:rPr>
          <w:rFonts w:ascii="Times New Roman" w:hAnsi="Times New Roman" w:cs="Times New Roman"/>
          <w:kern w:val="2"/>
        </w:rPr>
        <w:t>5.2.</w:t>
      </w:r>
      <w:r>
        <w:rPr>
          <w:rFonts w:hint="eastAsia" w:ascii="Times New Roman" w:hAnsi="Times New Roman" w:cs="Times New Roman"/>
          <w:kern w:val="2"/>
        </w:rPr>
        <w:t>2 生物仓、</w:t>
      </w:r>
      <w:r>
        <w:rPr>
          <w:rFonts w:ascii="Times New Roman" w:hAnsi="Times New Roman" w:cs="Times New Roman"/>
          <w:kern w:val="2"/>
        </w:rPr>
        <w:t>5.2.</w:t>
      </w:r>
      <w:r>
        <w:rPr>
          <w:rFonts w:hint="eastAsia" w:ascii="Times New Roman" w:hAnsi="Times New Roman" w:cs="Times New Roman"/>
          <w:kern w:val="2"/>
        </w:rPr>
        <w:t>3 生物模块、</w:t>
      </w:r>
      <w:r>
        <w:rPr>
          <w:rFonts w:ascii="Times New Roman" w:hAnsi="Times New Roman" w:cs="Times New Roman"/>
          <w:kern w:val="2"/>
        </w:rPr>
        <w:t>5.2.</w:t>
      </w:r>
      <w:r>
        <w:rPr>
          <w:rFonts w:hint="eastAsia" w:ascii="Times New Roman" w:hAnsi="Times New Roman" w:cs="Times New Roman"/>
          <w:kern w:val="2"/>
        </w:rPr>
        <w:t>4 调节沉淀区、</w:t>
      </w:r>
      <w:r>
        <w:rPr>
          <w:rFonts w:ascii="Times New Roman" w:hAnsi="Times New Roman" w:cs="Times New Roman"/>
          <w:kern w:val="2"/>
        </w:rPr>
        <w:t>5.2.</w:t>
      </w:r>
      <w:r>
        <w:rPr>
          <w:rFonts w:hint="eastAsia" w:ascii="Times New Roman" w:hAnsi="Times New Roman" w:cs="Times New Roman"/>
          <w:kern w:val="2"/>
        </w:rPr>
        <w:t>5 功能降解区、</w:t>
      </w:r>
      <w:r>
        <w:rPr>
          <w:rFonts w:ascii="Times New Roman" w:hAnsi="Times New Roman" w:cs="Times New Roman"/>
          <w:kern w:val="2"/>
        </w:rPr>
        <w:t>5.2.</w:t>
      </w:r>
      <w:r>
        <w:rPr>
          <w:rFonts w:hint="eastAsia" w:ascii="Times New Roman" w:hAnsi="Times New Roman" w:cs="Times New Roman"/>
          <w:kern w:val="2"/>
        </w:rPr>
        <w:t>5 生态净化区；</w:t>
      </w:r>
    </w:p>
    <w:p w14:paraId="0ABB3BA1">
      <w:pPr>
        <w:pStyle w:val="18"/>
        <w:numPr>
          <w:ilvl w:val="0"/>
          <w:numId w:val="1"/>
        </w:numPr>
        <w:rPr>
          <w:rFonts w:ascii="Times New Roman" w:hAnsi="Times New Roman" w:eastAsia="宋体" w:cs="Times New Roman"/>
          <w:color w:val="auto"/>
          <w:kern w:val="2"/>
          <w:sz w:val="24"/>
        </w:rPr>
      </w:pPr>
      <w:r>
        <w:rPr>
          <w:rFonts w:ascii="Times New Roman" w:hAnsi="Times New Roman" w:eastAsia="宋体" w:cs="Times New Roman"/>
          <w:color w:val="auto"/>
          <w:kern w:val="2"/>
          <w:sz w:val="24"/>
        </w:rPr>
        <w:t>生物配置</w:t>
      </w:r>
      <w:r>
        <w:rPr>
          <w:rFonts w:hint="eastAsia" w:ascii="Times New Roman" w:hAnsi="Times New Roman" w:eastAsia="宋体" w:cs="Times New Roman"/>
          <w:color w:val="auto"/>
          <w:kern w:val="2"/>
          <w:sz w:val="24"/>
        </w:rPr>
        <w:t>，主要包括6.1 水生植物、6.2 水生动物、6.3 微生物；</w:t>
      </w:r>
    </w:p>
    <w:p w14:paraId="4BEB4895">
      <w:pPr>
        <w:pStyle w:val="18"/>
        <w:numPr>
          <w:ilvl w:val="0"/>
          <w:numId w:val="1"/>
        </w:numPr>
        <w:rPr>
          <w:rFonts w:ascii="Times New Roman" w:hAnsi="Times New Roman" w:eastAsia="宋体" w:cs="Times New Roman"/>
          <w:color w:val="auto"/>
          <w:kern w:val="2"/>
          <w:sz w:val="24"/>
        </w:rPr>
      </w:pPr>
      <w:r>
        <w:rPr>
          <w:rFonts w:ascii="Times New Roman" w:hAnsi="Times New Roman" w:eastAsia="宋体" w:cs="Times New Roman"/>
          <w:color w:val="auto"/>
          <w:kern w:val="2"/>
          <w:sz w:val="24"/>
        </w:rPr>
        <w:t>尾水排放</w:t>
      </w:r>
    </w:p>
    <w:p w14:paraId="1C4C65B5">
      <w:pPr>
        <w:pStyle w:val="27"/>
        <w:numPr>
          <w:ilvl w:val="0"/>
          <w:numId w:val="1"/>
        </w:numPr>
        <w:ind w:firstLineChars="0"/>
        <w:rPr>
          <w:rFonts w:ascii="Times New Roman" w:hAnsi="Times New Roman" w:cs="Times New Roman"/>
          <w:kern w:val="2"/>
        </w:rPr>
      </w:pPr>
      <w:r>
        <w:rPr>
          <w:rFonts w:ascii="Times New Roman" w:hAnsi="Times New Roman" w:cs="Times New Roman"/>
          <w:kern w:val="2"/>
        </w:rPr>
        <w:t>运行维护</w:t>
      </w:r>
      <w:r>
        <w:rPr>
          <w:rFonts w:hint="eastAsia" w:ascii="Times New Roman" w:hAnsi="Times New Roman" w:cs="Times New Roman"/>
          <w:kern w:val="2"/>
        </w:rPr>
        <w:t>，主要包括8.1 排水要求、8.2 尾水净化时间、8.3 曝气增氧时间、8.4 生态截滤坝维护、8.5 植物养护。</w:t>
      </w:r>
    </w:p>
    <w:p w14:paraId="39E6819C">
      <w:pPr>
        <w:pStyle w:val="18"/>
        <w:ind w:left="440" w:firstLine="480" w:firstLineChars="200"/>
        <w:rPr>
          <w:rFonts w:ascii="Times New Roman" w:hAnsi="Times New Roman" w:eastAsia="宋体" w:cs="Times New Roman"/>
          <w:color w:val="auto"/>
          <w:kern w:val="2"/>
          <w:sz w:val="24"/>
        </w:rPr>
      </w:pPr>
      <w:r>
        <w:rPr>
          <w:rFonts w:hint="eastAsia" w:ascii="Times New Roman" w:hAnsi="Times New Roman" w:eastAsia="宋体" w:cs="Times New Roman"/>
          <w:color w:val="auto"/>
          <w:kern w:val="2"/>
          <w:sz w:val="24"/>
        </w:rPr>
        <w:t>该技术规范基于实验和实践，设定了生态治理的关键技术指标，涵盖淡水、海水养殖，提供了可实施、易操作的治理方案，助力养殖业实现尾水达标排放。</w:t>
      </w:r>
    </w:p>
    <w:p w14:paraId="5B0701A1">
      <w:pPr>
        <w:pStyle w:val="22"/>
        <w:spacing w:line="360" w:lineRule="auto"/>
        <w:rPr>
          <w:rFonts w:ascii="Times New Roman" w:hAnsi="Times New Roman" w:eastAsia="黑体"/>
          <w:b w:val="0"/>
          <w:bCs w:val="0"/>
          <w:sz w:val="24"/>
          <w:szCs w:val="28"/>
        </w:rPr>
      </w:pPr>
      <w:bookmarkStart w:id="42" w:name="_Toc186557556"/>
      <w:bookmarkStart w:id="43" w:name="_Toc170888056"/>
      <w:bookmarkStart w:id="44" w:name="_Hlk169004787"/>
      <w:r>
        <w:rPr>
          <w:rFonts w:hint="eastAsia" w:ascii="Times New Roman" w:hAnsi="Times New Roman" w:eastAsia="黑体"/>
          <w:b w:val="0"/>
          <w:bCs w:val="0"/>
          <w:sz w:val="24"/>
          <w:szCs w:val="28"/>
        </w:rPr>
        <w:t>5.3 术语和定义</w:t>
      </w:r>
      <w:bookmarkEnd w:id="42"/>
      <w:bookmarkEnd w:id="43"/>
    </w:p>
    <w:bookmarkEnd w:id="44"/>
    <w:p w14:paraId="36D67407">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（1）</w:t>
      </w:r>
      <w:bookmarkStart w:id="45" w:name="_Hlk129434603"/>
      <w:r>
        <w:rPr>
          <w:rFonts w:hint="eastAsia" w:ascii="Times New Roman" w:hAnsi="Times New Roman" w:cs="Times New Roman"/>
          <w:b/>
          <w:bCs/>
          <w:kern w:val="2"/>
        </w:rPr>
        <w:t>渔业养殖尾水</w:t>
      </w:r>
      <w:bookmarkEnd w:id="45"/>
      <w:r>
        <w:rPr>
          <w:rFonts w:hint="eastAsia" w:ascii="Times New Roman" w:hAnsi="Times New Roman" w:cs="Times New Roman"/>
          <w:b/>
          <w:bCs/>
          <w:kern w:val="2"/>
        </w:rPr>
        <w:t xml:space="preserve">  aquacultural tail water</w:t>
      </w:r>
    </w:p>
    <w:p w14:paraId="5C2DF1A7">
      <w:pPr>
        <w:shd w:val="clear" w:color="auto" w:fill="auto"/>
        <w:autoSpaceDE/>
        <w:autoSpaceDN/>
        <w:rPr>
          <w:rFonts w:ascii="Times New Roman" w:hAnsi="Times New Roman" w:cs="Times New Roman"/>
          <w:kern w:val="2"/>
        </w:rPr>
      </w:pPr>
      <w:r>
        <w:rPr>
          <w:rFonts w:hint="eastAsia" w:ascii="Times New Roman" w:hAnsi="Times New Roman" w:cs="Times New Roman"/>
          <w:kern w:val="2"/>
        </w:rPr>
        <w:t>在渔业养殖过程中，或养殖结束后，自养殖区排出的、未经处理的养殖水。</w:t>
      </w:r>
    </w:p>
    <w:p w14:paraId="699C8DF3">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hint="eastAsia" w:ascii="Times New Roman" w:hAnsi="Times New Roman" w:cs="Times New Roman"/>
          <w:kern w:val="2"/>
        </w:rPr>
        <w:t>浙江省地方标准DB33</w:t>
      </w:r>
      <w:r>
        <w:rPr>
          <w:rFonts w:ascii="Times New Roman" w:hAnsi="Times New Roman" w:cs="Times New Roman"/>
          <w:kern w:val="2"/>
        </w:rPr>
        <w:t>/T</w:t>
      </w:r>
      <w:r>
        <w:rPr>
          <w:rFonts w:hint="eastAsia" w:ascii="Times New Roman" w:hAnsi="Times New Roman" w:cs="Times New Roman"/>
          <w:kern w:val="2"/>
        </w:rPr>
        <w:t xml:space="preserve"> 2288</w:t>
      </w:r>
      <w:r>
        <w:rPr>
          <w:rFonts w:ascii="Times New Roman" w:hAnsi="Times New Roman" w:cs="Times New Roman"/>
          <w:kern w:val="2"/>
        </w:rPr>
        <w:t>-20</w:t>
      </w:r>
      <w:r>
        <w:rPr>
          <w:rFonts w:hint="eastAsia" w:ascii="Times New Roman" w:hAnsi="Times New Roman" w:cs="Times New Roman"/>
          <w:kern w:val="2"/>
        </w:rPr>
        <w:t>20</w:t>
      </w:r>
      <w:r>
        <w:rPr>
          <w:rFonts w:ascii="Times New Roman" w:hAnsi="Times New Roman" w:cs="Times New Roman"/>
          <w:kern w:val="2"/>
        </w:rPr>
        <w:t>《</w:t>
      </w:r>
      <w:r>
        <w:rPr>
          <w:rFonts w:hint="eastAsia" w:ascii="Times New Roman" w:hAnsi="Times New Roman" w:cs="Times New Roman"/>
          <w:kern w:val="2"/>
        </w:rPr>
        <w:t>淡水</w:t>
      </w:r>
      <w:r>
        <w:rPr>
          <w:rFonts w:ascii="Times New Roman" w:hAnsi="Times New Roman" w:cs="Times New Roman"/>
          <w:kern w:val="2"/>
        </w:rPr>
        <w:t>池塘养殖尾水</w:t>
      </w:r>
      <w:r>
        <w:rPr>
          <w:rFonts w:hint="eastAsia" w:ascii="Times New Roman" w:hAnsi="Times New Roman" w:cs="Times New Roman"/>
          <w:kern w:val="2"/>
        </w:rPr>
        <w:t>处理技术规范</w:t>
      </w:r>
      <w:r>
        <w:rPr>
          <w:rFonts w:ascii="Times New Roman" w:hAnsi="Times New Roman" w:cs="Times New Roman"/>
          <w:kern w:val="2"/>
        </w:rPr>
        <w:t>》</w:t>
      </w:r>
      <w:r>
        <w:rPr>
          <w:rFonts w:hint="eastAsia" w:ascii="Times New Roman" w:hAnsi="Times New Roman" w:cs="Times New Roman"/>
          <w:kern w:val="2"/>
        </w:rPr>
        <w:t>中关于“养殖尾水”定义为“淡水养殖过程中，或养殖结束后，由池塘养殖系统向开放性水域排出的未经处理的养殖尾水”，本标准定义在这个基础上进行了修改。</w:t>
      </w:r>
    </w:p>
    <w:p w14:paraId="35FE8DE7">
      <w:pPr>
        <w:shd w:val="clear" w:color="auto" w:fill="auto"/>
        <w:autoSpaceDE/>
        <w:autoSpaceDN/>
        <w:ind w:firstLine="482"/>
        <w:rPr>
          <w:rFonts w:ascii="Times New Roman" w:hAnsi="Times New Roman" w:cs="Times New Roman"/>
          <w:b/>
          <w:bCs/>
          <w:kern w:val="2"/>
        </w:rPr>
      </w:pPr>
      <w:r>
        <w:rPr>
          <w:rFonts w:ascii="Times New Roman" w:hAnsi="Times New Roman" w:cs="Times New Roman"/>
          <w:b/>
          <w:bCs/>
          <w:kern w:val="2"/>
        </w:rPr>
        <w:t>（2）尾水</w:t>
      </w:r>
      <w:r>
        <w:rPr>
          <w:rFonts w:hint="eastAsia" w:ascii="Times New Roman" w:hAnsi="Times New Roman" w:cs="Times New Roman"/>
          <w:b/>
          <w:bCs/>
          <w:kern w:val="2"/>
        </w:rPr>
        <w:t>收集系统  tailwater collection system</w:t>
      </w:r>
    </w:p>
    <w:p w14:paraId="01969C9B">
      <w:pPr>
        <w:shd w:val="clear" w:color="auto" w:fill="auto"/>
        <w:autoSpaceDE/>
        <w:autoSpaceDN/>
        <w:ind w:left="480" w:leftChars="200" w:firstLine="0" w:firstLineChars="0"/>
        <w:rPr>
          <w:rFonts w:ascii="Times New Roman" w:hAnsi="Times New Roman" w:cs="Times New Roman"/>
          <w:kern w:val="2"/>
        </w:rPr>
      </w:pPr>
      <w:r>
        <w:rPr>
          <w:rFonts w:hint="eastAsia" w:ascii="Times New Roman" w:hAnsi="Times New Roman" w:cs="Times New Roman"/>
          <w:kern w:val="2"/>
        </w:rPr>
        <w:t>尾水自养殖区排出后，经过管道、沟渠、涵管、水闸、水坝等收集尾水的设备设施。</w:t>
      </w:r>
    </w:p>
    <w:p w14:paraId="0A0296F1">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hint="eastAsia" w:ascii="Times New Roman" w:hAnsi="Times New Roman" w:cs="Times New Roman"/>
          <w:kern w:val="2"/>
        </w:rPr>
        <w:t>管道、沟渠、涵管、水闸、水坝等水利设施，用于控制、分配、储存和调节水资源。</w:t>
      </w:r>
      <w:r>
        <w:rPr>
          <w:rFonts w:ascii="Times New Roman" w:hAnsi="Times New Roman" w:cs="Times New Roman"/>
          <w:kern w:val="2"/>
        </w:rPr>
        <w:t>参考中国环境学会团体标准T/CSES 30-2021《污水处理厂尾水人工湿地深度净化技术指南》</w:t>
      </w:r>
      <w:r>
        <w:rPr>
          <w:rFonts w:hint="eastAsia" w:ascii="Times New Roman" w:hAnsi="Times New Roman" w:cs="Times New Roman"/>
          <w:kern w:val="2"/>
        </w:rPr>
        <w:t>中关于“集、配水及出水”描述“采用穿孔管、配（集）水管、配（集）水堰、配水井、槽等装置来实现集配水的均匀”。</w:t>
      </w:r>
    </w:p>
    <w:p w14:paraId="20654A9C">
      <w:pPr>
        <w:shd w:val="clear" w:color="auto" w:fill="auto"/>
        <w:autoSpaceDE/>
        <w:autoSpaceDN/>
        <w:ind w:firstLine="482"/>
        <w:rPr>
          <w:rFonts w:ascii="Times New Roman" w:hAnsi="Times New Roman" w:cs="Times New Roman"/>
          <w:b/>
          <w:bCs/>
          <w:kern w:val="2"/>
        </w:rPr>
      </w:pPr>
      <w:r>
        <w:rPr>
          <w:rFonts w:ascii="Times New Roman" w:hAnsi="Times New Roman" w:cs="Times New Roman"/>
          <w:b/>
          <w:bCs/>
          <w:kern w:val="2"/>
        </w:rPr>
        <w:t>（</w:t>
      </w:r>
      <w:r>
        <w:rPr>
          <w:rFonts w:hint="eastAsia" w:ascii="Times New Roman" w:hAnsi="Times New Roman" w:cs="Times New Roman"/>
          <w:b/>
          <w:bCs/>
          <w:kern w:val="2"/>
        </w:rPr>
        <w:t>3</w:t>
      </w:r>
      <w:r>
        <w:rPr>
          <w:rFonts w:ascii="Times New Roman" w:hAnsi="Times New Roman" w:cs="Times New Roman"/>
          <w:b/>
          <w:bCs/>
          <w:kern w:val="2"/>
        </w:rPr>
        <w:t>）</w:t>
      </w:r>
      <w:bookmarkStart w:id="46" w:name="_Hlk170140900"/>
      <w:r>
        <w:rPr>
          <w:rFonts w:ascii="Times New Roman" w:hAnsi="Times New Roman" w:cs="Times New Roman"/>
          <w:b/>
          <w:bCs/>
          <w:kern w:val="2"/>
        </w:rPr>
        <w:t>尾水治理区域</w:t>
      </w:r>
      <w:bookmarkEnd w:id="46"/>
      <w:r>
        <w:rPr>
          <w:rFonts w:hint="eastAsia" w:ascii="Times New Roman" w:hAnsi="Times New Roman" w:cs="Times New Roman"/>
          <w:b/>
          <w:bCs/>
          <w:kern w:val="2"/>
        </w:rPr>
        <w:t xml:space="preserve">  tailwater treatment area</w:t>
      </w:r>
    </w:p>
    <w:p w14:paraId="68EC0458">
      <w:pPr>
        <w:shd w:val="clear" w:color="auto" w:fill="auto"/>
        <w:autoSpaceDE/>
        <w:autoSpaceDN/>
        <w:rPr>
          <w:rFonts w:ascii="Times New Roman" w:hAnsi="Times New Roman" w:cs="Times New Roman"/>
          <w:kern w:val="2"/>
        </w:rPr>
      </w:pPr>
      <w:r>
        <w:rPr>
          <w:rFonts w:hint="eastAsia" w:ascii="Times New Roman" w:hAnsi="Times New Roman" w:cs="Times New Roman"/>
          <w:kern w:val="2"/>
        </w:rPr>
        <w:t>包括调节沉淀区、功能降解区、生态净化区，通过对来自尾水收集系统的水采用沉降、沉淀、过滤等预处理措施，采用增氧曝气、投加功能性微生物、种植水生植物、投放水生动物等深度处理措施，实现对污染物的集中降解处理，使尾水经治理区处理后能够达标排放的区域。</w:t>
      </w:r>
    </w:p>
    <w:p w14:paraId="416F98F8">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hint="eastAsia" w:ascii="Times New Roman" w:hAnsi="Times New Roman" w:cs="Times New Roman"/>
          <w:kern w:val="2"/>
        </w:rPr>
        <w:t>为对本技术规范中描述的尾水治理区域进行的一个总结定义。</w:t>
      </w:r>
    </w:p>
    <w:p w14:paraId="714C40F3">
      <w:pPr>
        <w:shd w:val="clear" w:color="auto" w:fill="auto"/>
        <w:autoSpaceDE/>
        <w:autoSpaceDN/>
        <w:ind w:firstLine="482"/>
        <w:rPr>
          <w:rFonts w:ascii="Times New Roman" w:hAnsi="Times New Roman" w:cs="Times New Roman"/>
          <w:b/>
          <w:bCs/>
          <w:kern w:val="2"/>
        </w:rPr>
      </w:pPr>
      <w:bookmarkStart w:id="47" w:name="_Hlk169004502"/>
      <w:r>
        <w:rPr>
          <w:rFonts w:ascii="Times New Roman" w:hAnsi="Times New Roman" w:cs="Times New Roman"/>
          <w:b/>
          <w:bCs/>
          <w:kern w:val="2"/>
        </w:rPr>
        <w:t>（</w:t>
      </w:r>
      <w:r>
        <w:rPr>
          <w:rFonts w:hint="eastAsia" w:ascii="Times New Roman" w:hAnsi="Times New Roman" w:cs="Times New Roman"/>
          <w:b/>
          <w:bCs/>
          <w:kern w:val="2"/>
        </w:rPr>
        <w:t>4</w:t>
      </w:r>
      <w:r>
        <w:rPr>
          <w:rFonts w:ascii="Times New Roman" w:hAnsi="Times New Roman" w:cs="Times New Roman"/>
          <w:b/>
          <w:bCs/>
          <w:kern w:val="2"/>
        </w:rPr>
        <w:t>）</w:t>
      </w:r>
      <w:r>
        <w:rPr>
          <w:rFonts w:hint="eastAsia" w:ascii="Times New Roman" w:hAnsi="Times New Roman" w:cs="Times New Roman"/>
          <w:b/>
          <w:bCs/>
          <w:kern w:val="2"/>
        </w:rPr>
        <w:t>生物绳填料  biological rope packing</w:t>
      </w:r>
    </w:p>
    <w:p w14:paraId="1564A8D6">
      <w:pPr>
        <w:shd w:val="clear" w:color="auto" w:fill="auto"/>
        <w:autoSpaceDE/>
        <w:autoSpaceDN/>
        <w:rPr>
          <w:rFonts w:ascii="Times New Roman" w:hAnsi="Times New Roman" w:cs="Times New Roman"/>
          <w:kern w:val="2"/>
        </w:rPr>
      </w:pPr>
      <w:r>
        <w:rPr>
          <w:rFonts w:hint="eastAsia" w:ascii="Times New Roman" w:hAnsi="Times New Roman" w:cs="Times New Roman"/>
          <w:kern w:val="2"/>
        </w:rPr>
        <w:t>生物绳填料是将弹性填料和软性填料，采用蛇形辫带式编制方法混织制成的，有无数环状纤维结构的一种仿生水草。具有附着性好、接触面积大等特点，可为微生物生长提供空间。</w:t>
      </w:r>
    </w:p>
    <w:bookmarkEnd w:id="47"/>
    <w:p w14:paraId="51ADC546">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hint="eastAsia" w:ascii="Times New Roman" w:hAnsi="Times New Roman" w:cs="Times New Roman"/>
          <w:kern w:val="2"/>
        </w:rPr>
        <w:t>参考HJ/T 245-2006《</w:t>
      </w:r>
      <w:r>
        <w:rPr>
          <w:rFonts w:ascii="Times New Roman" w:hAnsi="Times New Roman" w:cs="Times New Roman"/>
          <w:kern w:val="2"/>
        </w:rPr>
        <w:t>环境保护产品技术要求悬挂式填料</w:t>
      </w:r>
      <w:r>
        <w:rPr>
          <w:rFonts w:hint="eastAsia" w:ascii="Times New Roman" w:hAnsi="Times New Roman" w:cs="Times New Roman"/>
          <w:kern w:val="2"/>
        </w:rPr>
        <w:t>》中关于生物绳填料的描述及河南天亿环保科技有限公司等公司关于生物绳填料的产品说明。</w:t>
      </w:r>
    </w:p>
    <w:p w14:paraId="1275FCBA">
      <w:pPr>
        <w:shd w:val="clear" w:color="auto" w:fill="auto"/>
        <w:autoSpaceDE/>
        <w:autoSpaceDN/>
        <w:ind w:firstLine="482"/>
        <w:rPr>
          <w:rFonts w:ascii="Times New Roman" w:hAnsi="Times New Roman" w:cs="Times New Roman"/>
          <w:b/>
          <w:bCs/>
          <w:kern w:val="2"/>
        </w:rPr>
      </w:pPr>
      <w:r>
        <w:rPr>
          <w:rFonts w:ascii="Times New Roman" w:hAnsi="Times New Roman" w:cs="Times New Roman"/>
          <w:b/>
          <w:bCs/>
          <w:kern w:val="2"/>
        </w:rPr>
        <w:t>（</w:t>
      </w:r>
      <w:r>
        <w:rPr>
          <w:rFonts w:hint="eastAsia" w:ascii="Times New Roman" w:hAnsi="Times New Roman" w:cs="Times New Roman"/>
          <w:b/>
          <w:bCs/>
          <w:kern w:val="2"/>
        </w:rPr>
        <w:t>5</w:t>
      </w:r>
      <w:r>
        <w:rPr>
          <w:rFonts w:ascii="Times New Roman" w:hAnsi="Times New Roman" w:cs="Times New Roman"/>
          <w:b/>
          <w:bCs/>
          <w:kern w:val="2"/>
        </w:rPr>
        <w:t>）</w:t>
      </w:r>
      <w:r>
        <w:rPr>
          <w:rFonts w:hint="eastAsia" w:ascii="Times New Roman" w:hAnsi="Times New Roman" w:cs="Times New Roman"/>
          <w:b/>
          <w:bCs/>
          <w:kern w:val="2"/>
        </w:rPr>
        <w:t>功能性微生物  functional microorganism</w:t>
      </w:r>
    </w:p>
    <w:p w14:paraId="536D2D6E">
      <w:pPr>
        <w:shd w:val="clear" w:color="auto" w:fill="auto"/>
        <w:autoSpaceDE/>
        <w:autoSpaceDN/>
        <w:rPr>
          <w:rFonts w:ascii="Times New Roman" w:hAnsi="Times New Roman" w:cs="Times New Roman"/>
          <w:kern w:val="2"/>
        </w:rPr>
      </w:pPr>
      <w:r>
        <w:rPr>
          <w:rFonts w:hint="eastAsia" w:ascii="Times New Roman" w:hAnsi="Times New Roman" w:cs="Times New Roman"/>
          <w:kern w:val="2"/>
        </w:rPr>
        <w:t>功能性微生物是指在渔业养殖尾水处理中具有特定功能，包括专项去除碳、氮、磷等污染物，或具有耐低温、耐抗生素、耐高盐等特性的微生物种群。</w:t>
      </w:r>
    </w:p>
    <w:p w14:paraId="1E74C834">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hint="eastAsia" w:ascii="Times New Roman" w:hAnsi="Times New Roman" w:cs="Times New Roman"/>
          <w:kern w:val="2"/>
        </w:rPr>
        <w:t>渔业养殖尾水处理中微生物的功能主要为去除碳、氮、磷等污染物。微生物在处理养殖尾水时面临诸多挑战，主要涉及需要适应高盐度环境、处理成分复杂的污染物、在低温条件下保持活性、抵抗抗生素的影响等。参考国家标准</w:t>
      </w:r>
      <w:r>
        <w:rPr>
          <w:rFonts w:ascii="Times New Roman" w:hAnsi="Times New Roman" w:cs="Times New Roman"/>
          <w:kern w:val="2"/>
        </w:rPr>
        <w:t>GB/T 34224-2017</w:t>
      </w:r>
      <w:r>
        <w:rPr>
          <w:rFonts w:hint="eastAsia" w:ascii="Times New Roman" w:hAnsi="Times New Roman" w:cs="Times New Roman"/>
          <w:kern w:val="2"/>
        </w:rPr>
        <w:t>《生物产品中功能性微生物检测》中的“功能性微生物”定义，即“一定条件下，具有确切调节改良功能的活的微生物菌株”。</w:t>
      </w:r>
    </w:p>
    <w:p w14:paraId="0131344F">
      <w:pPr>
        <w:shd w:val="clear" w:color="auto" w:fill="auto"/>
        <w:autoSpaceDE/>
        <w:autoSpaceDN/>
        <w:ind w:firstLine="482"/>
        <w:rPr>
          <w:rFonts w:ascii="Times New Roman" w:hAnsi="Times New Roman" w:cs="Times New Roman"/>
          <w:b/>
          <w:bCs/>
          <w:kern w:val="2"/>
        </w:rPr>
      </w:pPr>
      <w:bookmarkStart w:id="48" w:name="_Hlk169004495"/>
      <w:r>
        <w:rPr>
          <w:rFonts w:ascii="Times New Roman" w:hAnsi="Times New Roman" w:cs="Times New Roman"/>
          <w:b/>
          <w:bCs/>
          <w:kern w:val="2"/>
        </w:rPr>
        <w:t>（</w:t>
      </w:r>
      <w:r>
        <w:rPr>
          <w:rFonts w:hint="eastAsia" w:ascii="Times New Roman" w:hAnsi="Times New Roman" w:cs="Times New Roman"/>
          <w:b/>
          <w:bCs/>
          <w:kern w:val="2"/>
        </w:rPr>
        <w:t>6</w:t>
      </w:r>
      <w:r>
        <w:rPr>
          <w:rFonts w:ascii="Times New Roman" w:hAnsi="Times New Roman" w:cs="Times New Roman"/>
          <w:b/>
          <w:bCs/>
          <w:kern w:val="2"/>
        </w:rPr>
        <w:t>）</w:t>
      </w:r>
      <w:r>
        <w:rPr>
          <w:rFonts w:hint="eastAsia" w:ascii="Times New Roman" w:hAnsi="Times New Roman" w:cs="Times New Roman"/>
          <w:b/>
          <w:bCs/>
          <w:kern w:val="2"/>
        </w:rPr>
        <w:t>微生物+生态处理  microbial + ecological treatment</w:t>
      </w:r>
    </w:p>
    <w:p w14:paraId="57B05DC4">
      <w:pPr>
        <w:shd w:val="clear" w:color="auto" w:fill="auto"/>
        <w:autoSpaceDE/>
        <w:autoSpaceDN/>
        <w:rPr>
          <w:rFonts w:ascii="Times New Roman" w:hAnsi="Times New Roman" w:cs="Times New Roman"/>
          <w:kern w:val="2"/>
        </w:rPr>
      </w:pPr>
      <w:r>
        <w:rPr>
          <w:rFonts w:hint="eastAsia" w:ascii="Times New Roman" w:hAnsi="Times New Roman" w:cs="Times New Roman"/>
          <w:kern w:val="2"/>
        </w:rPr>
        <w:t>以微生物技术为主要措施构建生态系统，对尾水中的碳、氮、磷等元素进行吸附、吸收及转换利用，以达到净化水质，达标排放的目的。</w:t>
      </w:r>
    </w:p>
    <w:p w14:paraId="240A0258">
      <w:pPr>
        <w:shd w:val="clear" w:color="auto" w:fill="auto"/>
        <w:autoSpaceDE/>
        <w:autoSpaceDN/>
        <w:ind w:firstLine="482"/>
        <w:rPr>
          <w:rFonts w:ascii="Times New Roman" w:hAnsi="Times New Roman" w:cs="Times New Roman"/>
          <w:kern w:val="2"/>
        </w:rPr>
      </w:pPr>
      <w:bookmarkStart w:id="49" w:name="_Hlk169005788"/>
      <w:r>
        <w:rPr>
          <w:rFonts w:ascii="Times New Roman" w:hAnsi="Times New Roman" w:cs="Times New Roman"/>
          <w:b/>
          <w:bCs/>
          <w:kern w:val="2"/>
        </w:rPr>
        <w:t>编写依据</w:t>
      </w:r>
      <w:bookmarkEnd w:id="48"/>
      <w:r>
        <w:rPr>
          <w:rFonts w:hint="eastAsia" w:ascii="Times New Roman" w:hAnsi="Times New Roman" w:cs="Times New Roman"/>
          <w:b/>
          <w:bCs/>
          <w:kern w:val="2"/>
        </w:rPr>
        <w:t>：</w:t>
      </w:r>
      <w:r>
        <w:rPr>
          <w:rFonts w:hint="eastAsia" w:ascii="Times New Roman" w:hAnsi="Times New Roman" w:cs="Times New Roman"/>
          <w:kern w:val="2"/>
        </w:rPr>
        <w:t>四川省成都市地方标准</w:t>
      </w:r>
      <w:r>
        <w:rPr>
          <w:rFonts w:ascii="Times New Roman" w:hAnsi="Times New Roman" w:cs="Times New Roman"/>
          <w:kern w:val="2"/>
        </w:rPr>
        <w:t>DB5101/T 107-2021《</w:t>
      </w:r>
      <w:r>
        <w:rPr>
          <w:rFonts w:hint="eastAsia" w:ascii="Times New Roman" w:hAnsi="Times New Roman" w:cs="Times New Roman"/>
          <w:kern w:val="2"/>
        </w:rPr>
        <w:t>淡水池塘养殖尾水生态处理技术规范</w:t>
      </w:r>
      <w:r>
        <w:rPr>
          <w:rFonts w:ascii="Times New Roman" w:hAnsi="Times New Roman" w:cs="Times New Roman"/>
          <w:kern w:val="2"/>
        </w:rPr>
        <w:t>》中关于</w:t>
      </w:r>
      <w:r>
        <w:rPr>
          <w:rFonts w:cs="Times New Roman" w:asciiTheme="minorEastAsia" w:hAnsiTheme="minorEastAsia" w:eastAsiaTheme="minorEastAsia"/>
          <w:kern w:val="2"/>
        </w:rPr>
        <w:t>“</w:t>
      </w:r>
      <w:r>
        <w:rPr>
          <w:rFonts w:ascii="Times New Roman" w:hAnsi="Times New Roman" w:cs="Times New Roman"/>
          <w:kern w:val="2"/>
        </w:rPr>
        <w:t>生态</w:t>
      </w:r>
      <w:r>
        <w:rPr>
          <w:rFonts w:hint="eastAsia" w:ascii="Times New Roman" w:hAnsi="Times New Roman" w:cs="Times New Roman"/>
          <w:kern w:val="2"/>
        </w:rPr>
        <w:t>处理</w:t>
      </w:r>
      <w:r>
        <w:rPr>
          <w:rFonts w:cs="Times New Roman" w:asciiTheme="minorEastAsia" w:hAnsiTheme="minorEastAsia" w:eastAsiaTheme="minorEastAsia"/>
          <w:kern w:val="2"/>
        </w:rPr>
        <w:t>”</w:t>
      </w:r>
      <w:r>
        <w:rPr>
          <w:rFonts w:ascii="Times New Roman" w:hAnsi="Times New Roman" w:cs="Times New Roman"/>
          <w:kern w:val="2"/>
        </w:rPr>
        <w:t>定义为</w:t>
      </w:r>
      <w:r>
        <w:rPr>
          <w:rFonts w:cs="Times New Roman" w:asciiTheme="minorEastAsia" w:hAnsiTheme="minorEastAsia" w:eastAsiaTheme="minorEastAsia"/>
          <w:kern w:val="2"/>
        </w:rPr>
        <w:t>“</w:t>
      </w:r>
      <w:r>
        <w:rPr>
          <w:rFonts w:hint="eastAsia" w:ascii="Times New Roman" w:hAnsi="Times New Roman" w:cs="Times New Roman"/>
          <w:kern w:val="2"/>
        </w:rPr>
        <w:t>采用生物技术、工程技术等措施构建生态系统，对养殖尾水中的氮、磷等营养元素进行吸附、吸收及转化利用，达到净化水质、防止水体富营养化目的</w:t>
      </w:r>
      <w:r>
        <w:rPr>
          <w:rFonts w:ascii="Times New Roman" w:hAnsi="Times New Roman" w:cs="Times New Roman"/>
          <w:kern w:val="2"/>
        </w:rPr>
        <w:t>。</w:t>
      </w:r>
      <w:r>
        <w:rPr>
          <w:rFonts w:cs="Times New Roman" w:asciiTheme="minorEastAsia" w:hAnsiTheme="minorEastAsia" w:eastAsiaTheme="minorEastAsia"/>
          <w:kern w:val="2"/>
        </w:rPr>
        <w:t>”</w:t>
      </w:r>
      <w:r>
        <w:rPr>
          <w:rFonts w:hint="eastAsia" w:ascii="Times New Roman" w:hAnsi="Times New Roman" w:cs="Times New Roman"/>
          <w:kern w:val="2"/>
        </w:rPr>
        <w:t>本标准草案的“微生物</w:t>
      </w:r>
      <w:r>
        <w:rPr>
          <w:rFonts w:cs="Times New Roman" w:asciiTheme="minorEastAsia" w:hAnsiTheme="minorEastAsia" w:eastAsiaTheme="minorEastAsia"/>
          <w:kern w:val="2"/>
        </w:rPr>
        <w:t>+</w:t>
      </w:r>
      <w:r>
        <w:rPr>
          <w:rFonts w:hint="eastAsia" w:ascii="Times New Roman" w:hAnsi="Times New Roman" w:cs="Times New Roman"/>
          <w:kern w:val="2"/>
        </w:rPr>
        <w:t>生态处理”和“生态处理”有相似的意义，因此，本稿中拟引用此标准中的定义进行规范。</w:t>
      </w:r>
    </w:p>
    <w:bookmarkEnd w:id="49"/>
    <w:p w14:paraId="2F08BC9E">
      <w:pPr>
        <w:pStyle w:val="22"/>
        <w:spacing w:line="360" w:lineRule="auto"/>
        <w:rPr>
          <w:rFonts w:ascii="Times New Roman" w:hAnsi="Times New Roman" w:eastAsia="黑体"/>
          <w:b w:val="0"/>
          <w:bCs w:val="0"/>
          <w:sz w:val="24"/>
          <w:szCs w:val="28"/>
        </w:rPr>
      </w:pPr>
      <w:bookmarkStart w:id="50" w:name="_Toc186557557"/>
      <w:bookmarkStart w:id="51" w:name="_Toc170888057"/>
      <w:r>
        <w:rPr>
          <w:rFonts w:hint="eastAsia" w:ascii="Times New Roman" w:hAnsi="Times New Roman" w:eastAsia="黑体"/>
          <w:b w:val="0"/>
          <w:bCs w:val="0"/>
          <w:sz w:val="24"/>
          <w:szCs w:val="28"/>
        </w:rPr>
        <w:t>5.4 工艺流程</w:t>
      </w:r>
      <w:bookmarkEnd w:id="50"/>
      <w:bookmarkEnd w:id="51"/>
    </w:p>
    <w:p w14:paraId="7D38BA48">
      <w:pPr>
        <w:shd w:val="clear" w:color="auto" w:fill="auto"/>
        <w:autoSpaceDE/>
        <w:autoSpaceDN/>
        <w:rPr>
          <w:rFonts w:ascii="Times New Roman" w:hAnsi="Times New Roman" w:cs="Times New Roman"/>
          <w:kern w:val="2"/>
        </w:rPr>
      </w:pPr>
      <w:r>
        <w:rPr>
          <w:rFonts w:hint="eastAsia" w:ascii="Times New Roman" w:hAnsi="Times New Roman" w:cs="Times New Roman"/>
          <w:kern w:val="2"/>
        </w:rPr>
        <w:t>尾水自养殖区排出后，经尾水收集系统，进入尾水治理区域，通过调节沉淀区、功能降解区、生态净化区的集中处理，实现达标排放。</w:t>
      </w:r>
    </w:p>
    <w:p w14:paraId="044F67E7">
      <w:pPr>
        <w:shd w:val="clear" w:color="auto" w:fill="auto"/>
        <w:autoSpaceDE/>
        <w:autoSpaceDN/>
        <w:rPr>
          <w:rFonts w:ascii="Times New Roman" w:hAnsi="Times New Roman" w:cs="Times New Roman"/>
          <w:kern w:val="2"/>
        </w:rPr>
      </w:pPr>
      <w:r>
        <w:rPr>
          <w:rFonts w:hint="eastAsia" w:ascii="Times New Roman" w:hAnsi="Times New Roman" w:cs="Times New Roman"/>
          <w:kern w:val="2"/>
        </w:rPr>
        <w:t>渔业</w:t>
      </w:r>
      <w:r>
        <w:rPr>
          <w:rFonts w:ascii="Times New Roman" w:hAnsi="Times New Roman" w:cs="Times New Roman"/>
          <w:kern w:val="2"/>
        </w:rPr>
        <w:t>养殖尾水</w:t>
      </w:r>
      <w:r>
        <w:rPr>
          <w:rFonts w:hint="eastAsia" w:ascii="Times New Roman" w:hAnsi="Times New Roman" w:cs="Times New Roman"/>
          <w:kern w:val="2"/>
        </w:rPr>
        <w:t>“微生物+生态处理”技术工艺流程见图1。</w:t>
      </w:r>
    </w:p>
    <w:p w14:paraId="7551B340">
      <w:pPr>
        <w:pStyle w:val="18"/>
        <w:rPr>
          <w:rFonts w:hint="eastAsia"/>
        </w:rPr>
      </w:pPr>
      <w:r>
        <w:drawing>
          <wp:inline distT="0" distB="0" distL="0" distR="0">
            <wp:extent cx="5940425" cy="2776220"/>
            <wp:effectExtent l="0" t="0" r="3175" b="5080"/>
            <wp:docPr id="7224550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455034" name="图片 1"/>
                    <pic:cNvPicPr>
                      <a:picLocks noChangeAspect="1"/>
                    </pic:cNvPicPr>
                  </pic:nvPicPr>
                  <pic:blipFill>
                    <a:blip r:embed="rId13"/>
                    <a:stretch>
                      <a:fillRect/>
                    </a:stretch>
                  </pic:blipFill>
                  <pic:spPr>
                    <a:xfrm>
                      <a:off x="0" y="0"/>
                      <a:ext cx="5940425" cy="2776220"/>
                    </a:xfrm>
                    <a:prstGeom prst="rect">
                      <a:avLst/>
                    </a:prstGeom>
                  </pic:spPr>
                </pic:pic>
              </a:graphicData>
            </a:graphic>
          </wp:inline>
        </w:drawing>
      </w:r>
    </w:p>
    <w:p w14:paraId="5A569024">
      <w:pPr>
        <w:widowControl/>
        <w:shd w:val="clear" w:color="auto" w:fill="auto"/>
        <w:spacing w:line="240" w:lineRule="auto"/>
        <w:ind w:firstLine="422"/>
        <w:jc w:val="center"/>
        <w:rPr>
          <w:rFonts w:hAnsi="Times New Roman" w:cs="Times New Roman"/>
          <w:b/>
          <w:bCs/>
          <w:sz w:val="21"/>
          <w:szCs w:val="20"/>
          <w:lang w:bidi="ar"/>
        </w:rPr>
      </w:pPr>
      <w:r>
        <w:rPr>
          <w:rFonts w:ascii="Times New Roman" w:hAnsi="Times New Roman" w:cs="Times New Roman"/>
          <w:b/>
          <w:bCs/>
          <w:sz w:val="21"/>
          <w:szCs w:val="20"/>
          <w:lang w:bidi="ar"/>
        </w:rPr>
        <w:t xml:space="preserve">图1 </w:t>
      </w:r>
      <w:r>
        <w:rPr>
          <w:rFonts w:hint="eastAsia" w:ascii="Times New Roman" w:hAnsi="Times New Roman" w:cs="Times New Roman"/>
          <w:b/>
          <w:bCs/>
          <w:sz w:val="21"/>
          <w:szCs w:val="20"/>
          <w:lang w:bidi="ar"/>
        </w:rPr>
        <w:t>渔业养殖尾水“微生物</w:t>
      </w:r>
      <w:r>
        <w:rPr>
          <w:rFonts w:ascii="Times New Roman" w:hAnsi="Times New Roman" w:cs="Times New Roman"/>
          <w:b/>
          <w:bCs/>
          <w:sz w:val="21"/>
          <w:szCs w:val="20"/>
          <w:lang w:bidi="ar"/>
        </w:rPr>
        <w:t>+生态处理”技术工艺流程图</w:t>
      </w:r>
    </w:p>
    <w:p w14:paraId="45E49283">
      <w:pPr>
        <w:shd w:val="clear" w:color="auto" w:fill="auto"/>
        <w:autoSpaceDE/>
        <w:autoSpaceDN/>
        <w:ind w:firstLine="482"/>
        <w:rPr>
          <w:rFonts w:ascii="Times New Roman" w:hAnsi="Times New Roman" w:cs="Times New Roman"/>
          <w:kern w:val="2"/>
        </w:rPr>
      </w:pPr>
      <w:bookmarkStart w:id="52" w:name="_Hlk169010155"/>
      <w:r>
        <w:rPr>
          <w:rFonts w:ascii="Times New Roman" w:hAnsi="Times New Roman" w:cs="Times New Roman"/>
          <w:b/>
          <w:bCs/>
          <w:kern w:val="2"/>
        </w:rPr>
        <w:t>编写依据</w:t>
      </w:r>
      <w:r>
        <w:rPr>
          <w:rFonts w:hint="eastAsia" w:ascii="Times New Roman" w:hAnsi="Times New Roman" w:cs="Times New Roman"/>
          <w:b/>
          <w:bCs/>
          <w:kern w:val="2"/>
        </w:rPr>
        <w:t>：</w:t>
      </w:r>
      <w:r>
        <w:rPr>
          <w:rFonts w:hint="eastAsia" w:ascii="Times New Roman" w:hAnsi="Times New Roman" w:cs="Times New Roman"/>
          <w:kern w:val="2"/>
        </w:rPr>
        <w:t>工艺流程清晰展示了本标准所规范的“微生物</w:t>
      </w:r>
      <w:r>
        <w:rPr>
          <w:rFonts w:ascii="Times New Roman" w:hAnsi="Times New Roman" w:cs="Times New Roman"/>
          <w:kern w:val="2"/>
        </w:rPr>
        <w:t>+生态处理</w:t>
      </w:r>
      <w:r>
        <w:rPr>
          <w:rFonts w:hint="eastAsia" w:ascii="Times New Roman" w:hAnsi="Times New Roman" w:cs="Times New Roman"/>
          <w:kern w:val="2"/>
        </w:rPr>
        <w:t>”</w:t>
      </w:r>
      <w:r>
        <w:rPr>
          <w:rFonts w:ascii="Times New Roman" w:hAnsi="Times New Roman" w:cs="Times New Roman"/>
          <w:kern w:val="2"/>
        </w:rPr>
        <w:t>技术工艺</w:t>
      </w:r>
      <w:r>
        <w:rPr>
          <w:rFonts w:hint="eastAsia" w:ascii="Times New Roman" w:hAnsi="Times New Roman" w:cs="Times New Roman"/>
          <w:kern w:val="2"/>
        </w:rPr>
        <w:t>内容，即渔业养殖尾水经尾水收集系统到调节沉淀区—功能降解区—生态净化区三个区，三个区组成尾水治理区域。</w:t>
      </w:r>
    </w:p>
    <w:p w14:paraId="6CD598D5">
      <w:pPr>
        <w:shd w:val="clear" w:color="auto" w:fill="auto"/>
        <w:autoSpaceDE/>
        <w:autoSpaceDN/>
        <w:rPr>
          <w:rFonts w:ascii="Times New Roman" w:hAnsi="Times New Roman" w:cs="Times New Roman"/>
          <w:kern w:val="2"/>
        </w:rPr>
      </w:pPr>
      <w:r>
        <w:rPr>
          <w:rFonts w:hint="eastAsia" w:ascii="Times New Roman" w:hAnsi="Times New Roman" w:cs="Times New Roman"/>
          <w:kern w:val="2"/>
        </w:rPr>
        <w:t>江苏省地方标准《淡水池塘循环水健康养殖三级净化技术操作规程》（</w:t>
      </w:r>
      <w:r>
        <w:rPr>
          <w:rFonts w:ascii="Times New Roman" w:hAnsi="Times New Roman" w:cs="Times New Roman"/>
          <w:kern w:val="2"/>
        </w:rPr>
        <w:t>DB32/T3238—2017）是一种适合于江苏地区的淡水池塘养殖尾水净化技术，原理是水源水和养殖池塘排出的养殖尾水首先在排水渠道或河道（一级净化系统）中被植物、浮游生物、微生物、底栖生物等净化后经溢流坝流入净水池塘（二级净化系统）中，污染物进一步被水生动、植物吸收利用，水体再经潜流坝过滤进入蓄水池塘（三级净化系统）中</w:t>
      </w:r>
      <w:r>
        <w:rPr>
          <w:rFonts w:hint="eastAsia" w:ascii="Times New Roman" w:hAnsi="Times New Roman" w:cs="Times New Roman"/>
          <w:kern w:val="2"/>
        </w:rPr>
        <w:t>，尾水经三级系统处理后达标排放。本标准草案在此基础上对三级净化系统进行优化修改分区，将调节沉淀区作为一级净化系统、功能降解区作为二级净化系统、生态净化区作为三级净化系统，尤其强调微生物的优势，强化有机污染物降解。</w:t>
      </w:r>
    </w:p>
    <w:p w14:paraId="59551D23">
      <w:pPr>
        <w:shd w:val="clear" w:color="auto" w:fill="auto"/>
        <w:autoSpaceDE/>
        <w:autoSpaceDN/>
        <w:rPr>
          <w:rFonts w:ascii="Times New Roman" w:hAnsi="Times New Roman" w:cs="Times New Roman"/>
          <w:kern w:val="2"/>
        </w:rPr>
      </w:pPr>
      <w:r>
        <w:rPr>
          <w:rFonts w:hint="eastAsia" w:ascii="Times New Roman" w:hAnsi="Times New Roman" w:cs="Times New Roman"/>
          <w:kern w:val="2"/>
        </w:rPr>
        <w:t>在《全国池塘养殖尾水治理专项建设规划（2</w:t>
      </w:r>
      <w:r>
        <w:rPr>
          <w:rFonts w:ascii="Times New Roman" w:hAnsi="Times New Roman" w:cs="Times New Roman"/>
          <w:kern w:val="2"/>
        </w:rPr>
        <w:t>021</w:t>
      </w:r>
      <w:r>
        <w:rPr>
          <w:rFonts w:hint="eastAsia" w:ascii="Times New Roman" w:hAnsi="Times New Roman" w:cs="Times New Roman"/>
          <w:kern w:val="2"/>
        </w:rPr>
        <w:t>—2</w:t>
      </w:r>
      <w:r>
        <w:rPr>
          <w:rFonts w:ascii="Times New Roman" w:hAnsi="Times New Roman" w:cs="Times New Roman"/>
          <w:kern w:val="2"/>
        </w:rPr>
        <w:t>035</w:t>
      </w:r>
      <w:r>
        <w:rPr>
          <w:rFonts w:hint="eastAsia" w:ascii="Times New Roman" w:hAnsi="Times New Roman" w:cs="Times New Roman"/>
          <w:kern w:val="2"/>
        </w:rPr>
        <w:t>）》中，总结了目前我国养殖尾水治理的主要模式，其中有“池塘+人工湿地”尾水处理模式和“三池两坝”尾水处理模式。“三池两坝”尾水处理模式可降低尾水中氮磷物质的含量5</w:t>
      </w:r>
      <w:r>
        <w:rPr>
          <w:rFonts w:ascii="Times New Roman" w:hAnsi="Times New Roman" w:cs="Times New Roman"/>
          <w:kern w:val="2"/>
        </w:rPr>
        <w:t>0</w:t>
      </w:r>
      <w:r>
        <w:rPr>
          <w:rFonts w:hint="eastAsia" w:ascii="Times New Roman" w:hAnsi="Times New Roman" w:cs="Times New Roman"/>
          <w:kern w:val="2"/>
        </w:rPr>
        <w:t>%以上，减少农业面源污染，改善养殖环境，广泛应用于浙江、江苏、安徽等地的淡水养殖渔场，但在治理空间上占地较大。“微生物+生态技术”利用菌群快速繁殖特性，可以在短时间内快速形成去除污染因子、改善水体所需要的种群活性和密度，缩短污染物所需的净化时间，进而减少治理所需空间。因此本标准选用“生物生态”工艺治理技术处理养殖塘排放尾水。“生物生态”工艺系统是将“三池两坝”工艺和“微生物+生态技术”结合，形成以“前端预处理→过程强化治理→末端深度净化→达标排放”的工艺治理思路，实现对养殖尾水的达标治理。</w:t>
      </w:r>
    </w:p>
    <w:bookmarkEnd w:id="52"/>
    <w:p w14:paraId="314BA800">
      <w:pPr>
        <w:pStyle w:val="22"/>
        <w:spacing w:line="360" w:lineRule="auto"/>
        <w:rPr>
          <w:rFonts w:ascii="Times New Roman" w:hAnsi="Times New Roman" w:eastAsia="黑体"/>
          <w:b w:val="0"/>
          <w:bCs w:val="0"/>
          <w:sz w:val="24"/>
          <w:szCs w:val="28"/>
        </w:rPr>
      </w:pPr>
      <w:bookmarkStart w:id="53" w:name="_Toc170888058"/>
      <w:bookmarkStart w:id="54" w:name="_Toc186557558"/>
      <w:bookmarkStart w:id="55" w:name="_Hlk169010842"/>
      <w:r>
        <w:rPr>
          <w:rFonts w:hint="eastAsia" w:ascii="Times New Roman" w:hAnsi="Times New Roman" w:eastAsia="黑体"/>
          <w:b w:val="0"/>
          <w:bCs w:val="0"/>
          <w:sz w:val="24"/>
          <w:szCs w:val="28"/>
        </w:rPr>
        <w:t>5.5 主要处理设施参数</w:t>
      </w:r>
      <w:bookmarkEnd w:id="53"/>
      <w:bookmarkEnd w:id="54"/>
    </w:p>
    <w:bookmarkEnd w:id="55"/>
    <w:p w14:paraId="3E78CB23">
      <w:pPr>
        <w:shd w:val="clear" w:color="auto" w:fill="auto"/>
        <w:autoSpaceDE/>
        <w:autoSpaceDN/>
        <w:ind w:firstLine="482"/>
        <w:rPr>
          <w:rFonts w:ascii="Times New Roman" w:hAnsi="Times New Roman" w:cs="Times New Roman"/>
          <w:b/>
          <w:bCs/>
          <w:kern w:val="2"/>
        </w:rPr>
      </w:pPr>
      <w:r>
        <w:rPr>
          <w:rFonts w:hint="eastAsia" w:ascii="Times New Roman" w:hAnsi="Times New Roman" w:cs="Times New Roman"/>
          <w:b/>
          <w:bCs/>
          <w:kern w:val="2"/>
        </w:rPr>
        <w:t>（1）尾水收集系统</w:t>
      </w:r>
    </w:p>
    <w:p w14:paraId="3B15CDF7">
      <w:pPr>
        <w:shd w:val="clear" w:color="auto" w:fill="auto"/>
        <w:autoSpaceDE/>
        <w:autoSpaceDN/>
        <w:rPr>
          <w:rFonts w:ascii="Times New Roman" w:hAnsi="Times New Roman" w:cs="Times New Roman"/>
          <w:kern w:val="2"/>
        </w:rPr>
      </w:pPr>
      <w:bookmarkStart w:id="56" w:name="_Hlk169006077"/>
      <w:r>
        <w:rPr>
          <w:rFonts w:hint="eastAsia" w:ascii="Times New Roman" w:hAnsi="Times New Roman" w:cs="Times New Roman"/>
          <w:kern w:val="2"/>
        </w:rPr>
        <w:t>1.1尾水收集系统大小根据养殖区域面积大小、水量合理设置，占养殖区域面积比例为</w:t>
      </w:r>
      <w:r>
        <w:rPr>
          <w:rFonts w:ascii="Times New Roman" w:hAnsi="Times New Roman" w:cs="Times New Roman"/>
          <w:kern w:val="2"/>
        </w:rPr>
        <w:t>1-2％</w:t>
      </w:r>
      <w:r>
        <w:rPr>
          <w:rFonts w:hint="eastAsia" w:ascii="Times New Roman" w:hAnsi="Times New Roman" w:cs="Times New Roman"/>
          <w:kern w:val="2"/>
        </w:rPr>
        <w:t>；</w:t>
      </w:r>
    </w:p>
    <w:bookmarkEnd w:id="56"/>
    <w:p w14:paraId="4E8B44D0">
      <w:pPr>
        <w:shd w:val="clear" w:color="auto" w:fill="auto"/>
        <w:autoSpaceDE/>
        <w:autoSpaceDN/>
        <w:rPr>
          <w:rFonts w:ascii="Times New Roman" w:hAnsi="Times New Roman" w:cs="Times New Roman"/>
          <w:kern w:val="2"/>
        </w:rPr>
      </w:pPr>
      <w:r>
        <w:rPr>
          <w:rFonts w:ascii="Times New Roman" w:hAnsi="Times New Roman" w:cs="Times New Roman"/>
          <w:kern w:val="2"/>
        </w:rPr>
        <w:t>1.</w:t>
      </w:r>
      <w:r>
        <w:rPr>
          <w:rFonts w:hint="eastAsia" w:ascii="Times New Roman" w:hAnsi="Times New Roman" w:cs="Times New Roman"/>
          <w:kern w:val="2"/>
        </w:rPr>
        <w:t>2对养殖区域内原有河道、沟渠进行改造或新建沟渠、涵管、闸门等，汇集、收集尾水，排水口通过升降闸门控制水流、水量，以实现尾水重力流动为宜。</w:t>
      </w:r>
    </w:p>
    <w:p w14:paraId="4FDBAF5C">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hint="eastAsia" w:ascii="Times New Roman" w:hAnsi="Times New Roman" w:cs="Times New Roman"/>
          <w:kern w:val="2"/>
        </w:rPr>
        <w:t>为确保系统能够有效地收集和处理尾水，避免过大或过小造成的资源浪费或处理效果不佳，尾水收集系统的大小需要根据养殖区域的实际面积和预计的水量来合理设置。基于公司已经做完的项目实际养殖需求和尾水治理效率综合考虑得出，</w:t>
      </w:r>
      <w:r>
        <w:rPr>
          <w:rFonts w:ascii="Times New Roman" w:hAnsi="Times New Roman" w:cs="Times New Roman"/>
          <w:kern w:val="2"/>
        </w:rPr>
        <w:t>尾水收集系统占养殖区域面积的比例建议为1-2%。</w:t>
      </w:r>
      <w:r>
        <w:rPr>
          <w:rFonts w:hint="eastAsia" w:ascii="Times New Roman" w:hAnsi="Times New Roman" w:cs="Times New Roman"/>
          <w:kern w:val="2"/>
        </w:rPr>
        <w:t>对于养殖区域内原有的河道、沟渠，可以根据需要进行改造，以更好地适应尾水的收集和排放。如果没有合适的河道或沟渠，也可以新建沟渠、涵管、闸门等设施，以形成完整的尾水收集系统。排水口是尾水收集系统的关键部分，需要通过升降闸门等控制装置来精确控制水流和水量。这样可以确保尾水在重力作用下顺畅流动，同时避免对环境造成不必要的影响。</w:t>
      </w:r>
    </w:p>
    <w:p w14:paraId="39E3476C">
      <w:pPr>
        <w:shd w:val="clear" w:color="auto" w:fill="auto"/>
        <w:autoSpaceDE/>
        <w:autoSpaceDN/>
        <w:ind w:firstLine="482"/>
        <w:rPr>
          <w:rFonts w:ascii="Times New Roman" w:hAnsi="Times New Roman" w:cs="Times New Roman"/>
          <w:b/>
          <w:bCs/>
          <w:kern w:val="2"/>
        </w:rPr>
      </w:pPr>
      <w:r>
        <w:rPr>
          <w:rFonts w:hint="eastAsia" w:ascii="Times New Roman" w:hAnsi="Times New Roman" w:cs="Times New Roman"/>
          <w:b/>
          <w:bCs/>
          <w:kern w:val="2"/>
        </w:rPr>
        <w:t>（2）尾水治理区域</w:t>
      </w:r>
    </w:p>
    <w:p w14:paraId="5F37BC65">
      <w:pPr>
        <w:shd w:val="clear" w:color="auto" w:fill="auto"/>
        <w:autoSpaceDE/>
        <w:autoSpaceDN/>
        <w:rPr>
          <w:rFonts w:ascii="Times New Roman" w:hAnsi="Times New Roman" w:cs="Times New Roman"/>
          <w:kern w:val="2"/>
        </w:rPr>
      </w:pPr>
      <w:r>
        <w:rPr>
          <w:rFonts w:hint="eastAsia" w:ascii="Times New Roman" w:hAnsi="Times New Roman" w:cs="Times New Roman"/>
          <w:kern w:val="2"/>
        </w:rPr>
        <w:t>1.1根据养殖区域面积大小、水量、水质、停留时间等因素合理设置，尾水治理区域面积占养殖区域面积比例约为6</w:t>
      </w:r>
      <w:r>
        <w:rPr>
          <w:rFonts w:ascii="Times New Roman" w:hAnsi="Times New Roman" w:cs="Times New Roman"/>
          <w:kern w:val="2"/>
        </w:rPr>
        <w:t>-</w:t>
      </w:r>
      <w:r>
        <w:rPr>
          <w:rFonts w:hint="eastAsia" w:ascii="Times New Roman" w:hAnsi="Times New Roman" w:cs="Times New Roman"/>
          <w:kern w:val="2"/>
        </w:rPr>
        <w:t>20</w:t>
      </w:r>
      <w:r>
        <w:rPr>
          <w:rFonts w:ascii="Times New Roman" w:hAnsi="Times New Roman" w:cs="Times New Roman"/>
          <w:kern w:val="2"/>
        </w:rPr>
        <w:t>％</w:t>
      </w:r>
      <w:r>
        <w:rPr>
          <w:rFonts w:hint="eastAsia" w:ascii="Times New Roman" w:hAnsi="Times New Roman" w:cs="Times New Roman"/>
          <w:kern w:val="2"/>
        </w:rPr>
        <w:t>；</w:t>
      </w:r>
    </w:p>
    <w:p w14:paraId="78435770">
      <w:pPr>
        <w:shd w:val="clear" w:color="auto" w:fill="auto"/>
        <w:autoSpaceDE/>
        <w:autoSpaceDN/>
        <w:rPr>
          <w:rFonts w:ascii="Times New Roman" w:hAnsi="Times New Roman" w:cs="Times New Roman"/>
          <w:kern w:val="2"/>
        </w:rPr>
      </w:pPr>
      <w:r>
        <w:rPr>
          <w:rFonts w:ascii="Times New Roman" w:hAnsi="Times New Roman" w:cs="Times New Roman"/>
          <w:kern w:val="2"/>
        </w:rPr>
        <w:t>1.</w:t>
      </w:r>
      <w:r>
        <w:rPr>
          <w:rFonts w:hint="eastAsia" w:ascii="Times New Roman" w:hAnsi="Times New Roman" w:cs="Times New Roman"/>
          <w:kern w:val="2"/>
        </w:rPr>
        <w:t>2可利用养殖区域内原有河道、沟渠、池塘进行改造，也可以新建沟渠、池塘，沟渠以深</w:t>
      </w:r>
      <w:r>
        <w:rPr>
          <w:rFonts w:ascii="Times New Roman" w:hAnsi="Times New Roman" w:cs="Times New Roman"/>
          <w:kern w:val="2"/>
        </w:rPr>
        <w:t>1.5</w:t>
      </w:r>
      <w:r>
        <w:rPr>
          <w:rFonts w:hint="eastAsia" w:ascii="Times New Roman" w:hAnsi="Times New Roman" w:cs="Times New Roman"/>
          <w:kern w:val="2"/>
        </w:rPr>
        <w:t xml:space="preserve"> </w:t>
      </w:r>
      <w:r>
        <w:rPr>
          <w:rFonts w:ascii="Times New Roman" w:hAnsi="Times New Roman" w:cs="Times New Roman"/>
          <w:kern w:val="2"/>
        </w:rPr>
        <w:t>m-2</w:t>
      </w:r>
      <w:r>
        <w:rPr>
          <w:rFonts w:hint="eastAsia" w:ascii="Times New Roman" w:hAnsi="Times New Roman" w:cs="Times New Roman"/>
          <w:kern w:val="2"/>
        </w:rPr>
        <w:t xml:space="preserve"> </w:t>
      </w:r>
      <w:r>
        <w:rPr>
          <w:rFonts w:ascii="Times New Roman" w:hAnsi="Times New Roman" w:cs="Times New Roman"/>
          <w:kern w:val="2"/>
        </w:rPr>
        <w:t>m、宽15</w:t>
      </w:r>
      <w:r>
        <w:rPr>
          <w:rFonts w:hint="eastAsia" w:ascii="Times New Roman" w:hAnsi="Times New Roman" w:cs="Times New Roman"/>
          <w:kern w:val="2"/>
        </w:rPr>
        <w:t xml:space="preserve"> </w:t>
      </w:r>
      <w:r>
        <w:rPr>
          <w:rFonts w:ascii="Times New Roman" w:hAnsi="Times New Roman" w:cs="Times New Roman"/>
          <w:kern w:val="2"/>
        </w:rPr>
        <w:t>m-30</w:t>
      </w:r>
      <w:r>
        <w:rPr>
          <w:rFonts w:hint="eastAsia" w:ascii="Times New Roman" w:hAnsi="Times New Roman" w:cs="Times New Roman"/>
          <w:kern w:val="2"/>
        </w:rPr>
        <w:t xml:space="preserve"> </w:t>
      </w:r>
      <w:r>
        <w:rPr>
          <w:rFonts w:ascii="Times New Roman" w:hAnsi="Times New Roman" w:cs="Times New Roman"/>
          <w:kern w:val="2"/>
        </w:rPr>
        <w:t>m为宜,池塘以深2</w:t>
      </w:r>
      <w:r>
        <w:rPr>
          <w:rFonts w:hint="eastAsia" w:ascii="Times New Roman" w:hAnsi="Times New Roman" w:cs="Times New Roman"/>
          <w:kern w:val="2"/>
        </w:rPr>
        <w:t xml:space="preserve"> </w:t>
      </w:r>
      <w:r>
        <w:rPr>
          <w:rFonts w:ascii="Times New Roman" w:hAnsi="Times New Roman" w:cs="Times New Roman"/>
          <w:kern w:val="2"/>
        </w:rPr>
        <w:t>m-2.5</w:t>
      </w:r>
      <w:r>
        <w:rPr>
          <w:rFonts w:hint="eastAsia" w:ascii="Times New Roman" w:hAnsi="Times New Roman" w:cs="Times New Roman"/>
          <w:kern w:val="2"/>
        </w:rPr>
        <w:t xml:space="preserve"> </w:t>
      </w:r>
      <w:r>
        <w:rPr>
          <w:rFonts w:ascii="Times New Roman" w:hAnsi="Times New Roman" w:cs="Times New Roman"/>
          <w:kern w:val="2"/>
        </w:rPr>
        <w:t>m为宜。</w:t>
      </w:r>
    </w:p>
    <w:p w14:paraId="4A7E6158">
      <w:pPr>
        <w:shd w:val="clear" w:color="auto" w:fill="auto"/>
        <w:autoSpaceDE/>
        <w:autoSpaceDN/>
        <w:ind w:firstLine="482"/>
        <w:rPr>
          <w:rFonts w:ascii="Times New Roman" w:hAnsi="Times New Roman" w:cs="Times New Roman"/>
          <w:b/>
          <w:bCs/>
          <w:kern w:val="2"/>
        </w:rPr>
      </w:pPr>
      <w:r>
        <w:rPr>
          <w:rFonts w:ascii="Times New Roman" w:hAnsi="Times New Roman" w:cs="Times New Roman"/>
          <w:b/>
          <w:bCs/>
          <w:kern w:val="2"/>
        </w:rPr>
        <w:t>编写依据：</w:t>
      </w:r>
    </w:p>
    <w:p w14:paraId="6D6937F8">
      <w:pPr>
        <w:shd w:val="clear" w:color="auto" w:fill="auto"/>
        <w:autoSpaceDE/>
        <w:autoSpaceDN/>
        <w:rPr>
          <w:rFonts w:ascii="Times New Roman" w:hAnsi="Times New Roman" w:cs="Times New Roman"/>
          <w:kern w:val="2"/>
        </w:rPr>
      </w:pPr>
      <w:r>
        <w:rPr>
          <w:rFonts w:hint="eastAsia" w:ascii="Times New Roman" w:hAnsi="Times New Roman" w:cs="Times New Roman"/>
          <w:kern w:val="2"/>
        </w:rPr>
        <w:t>本章节规范了尾水治理区域的面积和建筑要求，不同养殖品种尾水处理区面积同尾水排污系数相关，污染排放量大的品种尾水处理区面积相对较大。不同养殖品种综合排污系数如表1</w:t>
      </w:r>
      <w:r>
        <w:rPr>
          <w:rFonts w:ascii="Times New Roman" w:hAnsi="Times New Roman" w:cs="Times New Roman"/>
          <w:kern w:val="2"/>
        </w:rPr>
        <w:t>所示，引自全国水产技术推广总站组编的《水产养殖尾水处理技术模式》。从表</w:t>
      </w:r>
      <w:r>
        <w:rPr>
          <w:rFonts w:hint="eastAsia" w:ascii="Times New Roman" w:hAnsi="Times New Roman" w:cs="Times New Roman"/>
          <w:kern w:val="2"/>
        </w:rPr>
        <w:t>1</w:t>
      </w:r>
      <w:r>
        <w:rPr>
          <w:rFonts w:ascii="Times New Roman" w:hAnsi="Times New Roman" w:cs="Times New Roman"/>
          <w:kern w:val="2"/>
        </w:rPr>
        <w:t>可以看出，龟鳖类、鲈鱼、乌鳢、鳗鲡是高排污养殖水产品；中华绒螯蟹、日本沼虾、克氏原螯虾、鲢鳙等养殖品种排污量相对较小。养殖尾水处理实施面积要求根据不同养殖品种和养殖产量而变化</w:t>
      </w:r>
      <w:r>
        <w:rPr>
          <w:rFonts w:hint="eastAsia" w:ascii="Times New Roman" w:hAnsi="Times New Roman" w:cs="Times New Roman"/>
          <w:kern w:val="2"/>
        </w:rPr>
        <w:t>。排污量越大大的品种尾水治理设施面积越大，陈全（2024）中描述淡水鱼、虾类养殖为主的池塘尾水治理设施总面积不小于养殖总面积的</w:t>
      </w:r>
      <w:r>
        <w:rPr>
          <w:rFonts w:ascii="Times New Roman" w:hAnsi="Times New Roman" w:cs="Times New Roman"/>
          <w:kern w:val="2"/>
        </w:rPr>
        <w:t>5%；以鳜、加州鲈、乌鳢、黄颡鱼、翘嘴红鲌</w:t>
      </w:r>
      <w:r>
        <w:rPr>
          <w:rFonts w:hint="eastAsia" w:ascii="Times New Roman" w:hAnsi="Times New Roman" w:cs="Times New Roman"/>
          <w:kern w:val="2"/>
        </w:rPr>
        <w:t>及龟鳖类养殖为主的池塘尾水治理设施总面积不小于养殖总面积的</w:t>
      </w:r>
      <w:r>
        <w:rPr>
          <w:rFonts w:ascii="Times New Roman" w:hAnsi="Times New Roman" w:cs="Times New Roman"/>
          <w:kern w:val="2"/>
        </w:rPr>
        <w:t>10%；以上品种均有养殖的池塘尾水治理设施总面积不</w:t>
      </w:r>
      <w:r>
        <w:rPr>
          <w:rFonts w:hint="eastAsia" w:ascii="Times New Roman" w:hAnsi="Times New Roman" w:cs="Times New Roman"/>
          <w:kern w:val="2"/>
        </w:rPr>
        <w:t>小于养殖总面积的</w:t>
      </w:r>
      <w:r>
        <w:rPr>
          <w:rFonts w:ascii="Times New Roman" w:hAnsi="Times New Roman" w:cs="Times New Roman"/>
          <w:kern w:val="2"/>
        </w:rPr>
        <w:t>8%</w:t>
      </w:r>
      <w:r>
        <w:rPr>
          <w:rFonts w:hint="eastAsia" w:ascii="Times New Roman" w:hAnsi="Times New Roman" w:cs="Times New Roman"/>
          <w:kern w:val="2"/>
        </w:rPr>
        <w:t>，</w:t>
      </w:r>
      <w:r>
        <w:rPr>
          <w:rFonts w:ascii="Times New Roman" w:hAnsi="Times New Roman" w:cs="Times New Roman"/>
          <w:kern w:val="2"/>
        </w:rPr>
        <w:t>其他品种尾水治理设施总面积约养殖总面积的8%。故本标准的尾水处理设施的面积</w:t>
      </w:r>
      <w:r>
        <w:rPr>
          <w:rFonts w:hint="eastAsia" w:ascii="Times New Roman" w:hAnsi="Times New Roman" w:cs="Times New Roman"/>
          <w:kern w:val="2"/>
        </w:rPr>
        <w:t>设置为占养殖区域面积比例约为6</w:t>
      </w:r>
      <w:r>
        <w:rPr>
          <w:rFonts w:ascii="Times New Roman" w:hAnsi="Times New Roman" w:cs="Times New Roman"/>
          <w:kern w:val="2"/>
        </w:rPr>
        <w:t>-</w:t>
      </w:r>
      <w:r>
        <w:rPr>
          <w:rFonts w:hint="eastAsia" w:ascii="Times New Roman" w:hAnsi="Times New Roman" w:cs="Times New Roman"/>
          <w:kern w:val="2"/>
        </w:rPr>
        <w:t>20</w:t>
      </w:r>
      <w:r>
        <w:rPr>
          <w:rFonts w:ascii="Times New Roman" w:hAnsi="Times New Roman" w:cs="Times New Roman"/>
          <w:kern w:val="2"/>
        </w:rPr>
        <w:t>％</w:t>
      </w:r>
      <w:r>
        <w:rPr>
          <w:rFonts w:hint="eastAsia" w:ascii="Times New Roman" w:hAnsi="Times New Roman" w:cs="Times New Roman"/>
          <w:kern w:val="2"/>
        </w:rPr>
        <w:t>。</w:t>
      </w:r>
    </w:p>
    <w:p w14:paraId="78951E79">
      <w:pPr>
        <w:shd w:val="clear" w:color="auto" w:fill="auto"/>
        <w:autoSpaceDE/>
        <w:autoSpaceDN/>
        <w:rPr>
          <w:rFonts w:ascii="Times New Roman" w:hAnsi="Times New Roman" w:cs="Times New Roman"/>
          <w:kern w:val="2"/>
        </w:rPr>
      </w:pPr>
      <w:r>
        <w:rPr>
          <w:rFonts w:hint="eastAsia" w:ascii="Times New Roman" w:hAnsi="Times New Roman" w:cs="Times New Roman"/>
          <w:kern w:val="2"/>
        </w:rPr>
        <w:t>可利用养殖区域内原有的河道、沟渠、池塘进行改造，以减少建设成本并充分利用现有资源，也可以新建沟渠、池塘以满足尾水治理的需求。参考江苏省地方标准</w:t>
      </w:r>
      <w:r>
        <w:rPr>
          <w:rFonts w:ascii="Times New Roman" w:hAnsi="Times New Roman" w:cs="Times New Roman"/>
          <w:kern w:val="2"/>
        </w:rPr>
        <w:t>DB32/T 4725-2024</w:t>
      </w:r>
      <w:r>
        <w:rPr>
          <w:rFonts w:hint="eastAsia" w:ascii="Times New Roman" w:hAnsi="Times New Roman" w:cs="Times New Roman"/>
          <w:kern w:val="2"/>
        </w:rPr>
        <w:t>《池塘养殖尾水生态处理技术规范》中关于生态沟渠深度不小于1.5 m描述，其深度建议为</w:t>
      </w:r>
      <w:r>
        <w:rPr>
          <w:rFonts w:ascii="Times New Roman" w:hAnsi="Times New Roman" w:cs="Times New Roman"/>
          <w:kern w:val="2"/>
        </w:rPr>
        <w:t>1.5</w:t>
      </w:r>
      <w:r>
        <w:rPr>
          <w:rFonts w:hint="eastAsia" w:ascii="Times New Roman" w:hAnsi="Times New Roman" w:cs="Times New Roman"/>
          <w:kern w:val="2"/>
        </w:rPr>
        <w:t xml:space="preserve"> </w:t>
      </w:r>
      <w:r>
        <w:rPr>
          <w:rFonts w:ascii="Times New Roman" w:hAnsi="Times New Roman" w:cs="Times New Roman"/>
          <w:kern w:val="2"/>
        </w:rPr>
        <w:t>m-2</w:t>
      </w:r>
      <w:r>
        <w:rPr>
          <w:rFonts w:hint="eastAsia" w:ascii="Times New Roman" w:hAnsi="Times New Roman" w:cs="Times New Roman"/>
          <w:kern w:val="2"/>
        </w:rPr>
        <w:t xml:space="preserve"> </w:t>
      </w:r>
      <w:r>
        <w:rPr>
          <w:rFonts w:ascii="Times New Roman" w:hAnsi="Times New Roman" w:cs="Times New Roman"/>
          <w:kern w:val="2"/>
        </w:rPr>
        <w:t>m，宽度为15</w:t>
      </w:r>
      <w:r>
        <w:rPr>
          <w:rFonts w:hint="eastAsia" w:ascii="Times New Roman" w:hAnsi="Times New Roman" w:cs="Times New Roman"/>
          <w:kern w:val="2"/>
        </w:rPr>
        <w:t xml:space="preserve"> </w:t>
      </w:r>
      <w:r>
        <w:rPr>
          <w:rFonts w:ascii="Times New Roman" w:hAnsi="Times New Roman" w:cs="Times New Roman"/>
          <w:kern w:val="2"/>
        </w:rPr>
        <w:t>m-30</w:t>
      </w:r>
      <w:r>
        <w:rPr>
          <w:rFonts w:hint="eastAsia" w:ascii="Times New Roman" w:hAnsi="Times New Roman" w:cs="Times New Roman"/>
          <w:kern w:val="2"/>
        </w:rPr>
        <w:t xml:space="preserve"> </w:t>
      </w:r>
      <w:r>
        <w:rPr>
          <w:rFonts w:ascii="Times New Roman" w:hAnsi="Times New Roman" w:cs="Times New Roman"/>
          <w:kern w:val="2"/>
        </w:rPr>
        <w:t>m</w:t>
      </w:r>
      <w:r>
        <w:rPr>
          <w:rFonts w:hint="eastAsia" w:ascii="Times New Roman" w:hAnsi="Times New Roman" w:cs="Times New Roman"/>
          <w:kern w:val="2"/>
        </w:rPr>
        <w:t>，</w:t>
      </w:r>
      <w:r>
        <w:rPr>
          <w:rFonts w:ascii="Times New Roman" w:hAnsi="Times New Roman" w:cs="Times New Roman"/>
          <w:kern w:val="2"/>
        </w:rPr>
        <w:t>这样的尺寸设计有助于确保尾水在沟渠中有足够的停留时间和处理效果。</w:t>
      </w:r>
      <w:r>
        <w:rPr>
          <w:rFonts w:hint="eastAsia" w:ascii="Times New Roman" w:hAnsi="Times New Roman" w:cs="Times New Roman"/>
          <w:kern w:val="2"/>
        </w:rPr>
        <w:t>对于池塘，参考浙江省宁波市地方标准</w:t>
      </w:r>
      <w:r>
        <w:rPr>
          <w:rFonts w:ascii="Times New Roman" w:hAnsi="Times New Roman" w:cs="Times New Roman"/>
          <w:kern w:val="2"/>
        </w:rPr>
        <w:t>DB3</w:t>
      </w:r>
      <w:r>
        <w:rPr>
          <w:rFonts w:hint="eastAsia" w:ascii="Times New Roman" w:hAnsi="Times New Roman" w:cs="Times New Roman"/>
          <w:kern w:val="2"/>
        </w:rPr>
        <w:t>302</w:t>
      </w:r>
      <w:r>
        <w:rPr>
          <w:rFonts w:ascii="Times New Roman" w:hAnsi="Times New Roman" w:cs="Times New Roman"/>
          <w:kern w:val="2"/>
        </w:rPr>
        <w:t xml:space="preserve">/T </w:t>
      </w:r>
      <w:r>
        <w:rPr>
          <w:rFonts w:hint="eastAsia" w:ascii="Times New Roman" w:hAnsi="Times New Roman" w:cs="Times New Roman"/>
          <w:kern w:val="2"/>
        </w:rPr>
        <w:t>059</w:t>
      </w:r>
      <w:r>
        <w:rPr>
          <w:rFonts w:ascii="Times New Roman" w:hAnsi="Times New Roman" w:cs="Times New Roman"/>
          <w:kern w:val="2"/>
        </w:rPr>
        <w:t>-20</w:t>
      </w:r>
      <w:r>
        <w:rPr>
          <w:rFonts w:hint="eastAsia" w:ascii="Times New Roman" w:hAnsi="Times New Roman" w:cs="Times New Roman"/>
          <w:kern w:val="2"/>
        </w:rPr>
        <w:t>18《水产养殖池塘改造建设规范》中对于池塘深度的描述“高标准养殖池塘深度在2 m以上”；山东省地方标准</w:t>
      </w:r>
      <w:r>
        <w:rPr>
          <w:rFonts w:ascii="Times New Roman" w:hAnsi="Times New Roman" w:cs="Times New Roman"/>
          <w:kern w:val="2"/>
        </w:rPr>
        <w:t>DB3</w:t>
      </w:r>
      <w:r>
        <w:rPr>
          <w:rFonts w:hint="eastAsia" w:ascii="Times New Roman" w:hAnsi="Times New Roman" w:cs="Times New Roman"/>
          <w:kern w:val="2"/>
        </w:rPr>
        <w:t>7</w:t>
      </w:r>
      <w:r>
        <w:rPr>
          <w:rFonts w:ascii="Times New Roman" w:hAnsi="Times New Roman" w:cs="Times New Roman"/>
          <w:kern w:val="2"/>
        </w:rPr>
        <w:t xml:space="preserve">/T </w:t>
      </w:r>
      <w:r>
        <w:rPr>
          <w:rFonts w:hint="eastAsia" w:ascii="Times New Roman" w:hAnsi="Times New Roman" w:cs="Times New Roman"/>
          <w:kern w:val="2"/>
        </w:rPr>
        <w:t>3418</w:t>
      </w:r>
      <w:r>
        <w:rPr>
          <w:rFonts w:ascii="Times New Roman" w:hAnsi="Times New Roman" w:cs="Times New Roman"/>
          <w:kern w:val="2"/>
        </w:rPr>
        <w:t>-2018</w:t>
      </w:r>
      <w:r>
        <w:rPr>
          <w:rFonts w:hint="eastAsia" w:ascii="Times New Roman" w:hAnsi="Times New Roman" w:cs="Times New Roman"/>
          <w:kern w:val="2"/>
        </w:rPr>
        <w:t>《标准化池塘建设改造技术规划》中“淡水虾蟹养殖池塘深度以2 m-2.5 m为宜，海水池塘深度以2 m-3 m为宜”。其池塘深度建议为</w:t>
      </w:r>
      <w:r>
        <w:rPr>
          <w:rFonts w:ascii="Times New Roman" w:hAnsi="Times New Roman" w:cs="Times New Roman"/>
          <w:kern w:val="2"/>
        </w:rPr>
        <w:t>2</w:t>
      </w:r>
      <w:r>
        <w:rPr>
          <w:rFonts w:hint="eastAsia" w:ascii="Times New Roman" w:hAnsi="Times New Roman" w:cs="Times New Roman"/>
          <w:kern w:val="2"/>
        </w:rPr>
        <w:t xml:space="preserve"> </w:t>
      </w:r>
      <w:r>
        <w:rPr>
          <w:rFonts w:ascii="Times New Roman" w:hAnsi="Times New Roman" w:cs="Times New Roman"/>
          <w:kern w:val="2"/>
        </w:rPr>
        <w:t>m-2.5</w:t>
      </w:r>
      <w:r>
        <w:rPr>
          <w:rFonts w:hint="eastAsia" w:ascii="Times New Roman" w:hAnsi="Times New Roman" w:cs="Times New Roman"/>
          <w:kern w:val="2"/>
        </w:rPr>
        <w:t xml:space="preserve"> </w:t>
      </w:r>
      <w:r>
        <w:rPr>
          <w:rFonts w:ascii="Times New Roman" w:hAnsi="Times New Roman" w:cs="Times New Roman"/>
          <w:kern w:val="2"/>
        </w:rPr>
        <w:t>m，以适应尾水的储存和进一步处理需求。</w:t>
      </w:r>
    </w:p>
    <w:p w14:paraId="0BBF120E">
      <w:pPr>
        <w:spacing w:before="62" w:after="62" w:line="400" w:lineRule="exact"/>
        <w:ind w:firstLine="482"/>
        <w:jc w:val="center"/>
        <w:rPr>
          <w:rFonts w:ascii="Times New Roman" w:hAnsi="Times New Roman"/>
          <w:b/>
          <w:bCs/>
        </w:rPr>
      </w:pPr>
      <w:r>
        <w:rPr>
          <w:rFonts w:hint="eastAsia" w:ascii="Times New Roman" w:hAnsi="Times New Roman"/>
          <w:b/>
          <w:bCs/>
        </w:rPr>
        <w:t>表1</w:t>
      </w:r>
      <w:r>
        <w:rPr>
          <w:rFonts w:ascii="Times New Roman" w:hAnsi="Times New Roman"/>
          <w:b/>
          <w:bCs/>
        </w:rPr>
        <w:t xml:space="preserve"> </w:t>
      </w:r>
      <w:r>
        <w:rPr>
          <w:rFonts w:hint="eastAsia" w:ascii="Times New Roman" w:hAnsi="Times New Roman"/>
          <w:b/>
          <w:bCs/>
        </w:rPr>
        <w:t>不同养殖品种综合排污系数</w:t>
      </w:r>
    </w:p>
    <w:tbl>
      <w:tblPr>
        <w:tblStyle w:val="28"/>
        <w:tblW w:w="8269" w:type="dxa"/>
        <w:jc w:val="center"/>
        <w:tblLayout w:type="autofit"/>
        <w:tblCellMar>
          <w:top w:w="0" w:type="dxa"/>
          <w:left w:w="108" w:type="dxa"/>
          <w:bottom w:w="0" w:type="dxa"/>
          <w:right w:w="108" w:type="dxa"/>
        </w:tblCellMar>
      </w:tblPr>
      <w:tblGrid>
        <w:gridCol w:w="1652"/>
        <w:gridCol w:w="1653"/>
        <w:gridCol w:w="1654"/>
        <w:gridCol w:w="1653"/>
        <w:gridCol w:w="1657"/>
      </w:tblGrid>
      <w:tr w14:paraId="16B3310F">
        <w:tblPrEx>
          <w:tblCellMar>
            <w:top w:w="0" w:type="dxa"/>
            <w:left w:w="108" w:type="dxa"/>
            <w:bottom w:w="0" w:type="dxa"/>
            <w:right w:w="108" w:type="dxa"/>
          </w:tblCellMar>
        </w:tblPrEx>
        <w:trPr>
          <w:trHeight w:val="347" w:hRule="atLeast"/>
          <w:jc w:val="center"/>
        </w:trPr>
        <w:tc>
          <w:tcPr>
            <w:tcW w:w="1653" w:type="dxa"/>
            <w:vMerge w:val="restart"/>
            <w:tcBorders>
              <w:top w:val="single" w:color="auto" w:sz="4" w:space="0"/>
            </w:tcBorders>
            <w:vAlign w:val="center"/>
          </w:tcPr>
          <w:p w14:paraId="3C244D92">
            <w:pPr>
              <w:spacing w:before="62" w:after="62"/>
              <w:ind w:firstLine="0" w:firstLineChars="0"/>
              <w:rPr>
                <w:rFonts w:ascii="Times New Roman" w:hAnsi="Times New Roman"/>
                <w:b/>
                <w:bCs/>
                <w:sz w:val="20"/>
                <w:szCs w:val="20"/>
              </w:rPr>
            </w:pPr>
            <w:r>
              <w:rPr>
                <w:rFonts w:hint="eastAsia" w:ascii="Times New Roman" w:hAnsi="Times New Roman"/>
                <w:b/>
                <w:bCs/>
                <w:sz w:val="20"/>
                <w:szCs w:val="20"/>
              </w:rPr>
              <w:t>养殖种类</w:t>
            </w:r>
          </w:p>
        </w:tc>
        <w:tc>
          <w:tcPr>
            <w:tcW w:w="6616" w:type="dxa"/>
            <w:gridSpan w:val="4"/>
            <w:tcBorders>
              <w:top w:val="single" w:color="auto" w:sz="4" w:space="0"/>
              <w:bottom w:val="single" w:color="auto" w:sz="4" w:space="0"/>
            </w:tcBorders>
            <w:vAlign w:val="center"/>
          </w:tcPr>
          <w:p w14:paraId="57C0B381">
            <w:pPr>
              <w:spacing w:before="62" w:after="62"/>
              <w:ind w:firstLine="402"/>
              <w:jc w:val="center"/>
              <w:rPr>
                <w:rFonts w:ascii="Times New Roman" w:hAnsi="Times New Roman"/>
                <w:b/>
                <w:bCs/>
                <w:sz w:val="20"/>
                <w:szCs w:val="20"/>
              </w:rPr>
            </w:pPr>
            <w:r>
              <w:rPr>
                <w:rFonts w:hint="eastAsia" w:ascii="Times New Roman" w:hAnsi="Times New Roman"/>
                <w:b/>
                <w:bCs/>
                <w:sz w:val="20"/>
                <w:szCs w:val="20"/>
              </w:rPr>
              <w:t>综合排污系数（克/千克）</w:t>
            </w:r>
          </w:p>
        </w:tc>
      </w:tr>
      <w:tr w14:paraId="09BF4D74">
        <w:tblPrEx>
          <w:tblCellMar>
            <w:top w:w="0" w:type="dxa"/>
            <w:left w:w="108" w:type="dxa"/>
            <w:bottom w:w="0" w:type="dxa"/>
            <w:right w:w="108" w:type="dxa"/>
          </w:tblCellMar>
        </w:tblPrEx>
        <w:trPr>
          <w:trHeight w:val="302" w:hRule="atLeast"/>
          <w:jc w:val="center"/>
        </w:trPr>
        <w:tc>
          <w:tcPr>
            <w:tcW w:w="1653" w:type="dxa"/>
            <w:vMerge w:val="continue"/>
            <w:tcBorders>
              <w:bottom w:val="single" w:color="auto" w:sz="4" w:space="0"/>
            </w:tcBorders>
          </w:tcPr>
          <w:p w14:paraId="736DD414">
            <w:pPr>
              <w:spacing w:before="62" w:after="62"/>
              <w:ind w:firstLine="400"/>
              <w:rPr>
                <w:rFonts w:ascii="Times New Roman" w:hAnsi="Times New Roman"/>
                <w:b w:val="0"/>
                <w:bCs w:val="0"/>
                <w:sz w:val="20"/>
                <w:szCs w:val="20"/>
              </w:rPr>
            </w:pPr>
          </w:p>
        </w:tc>
        <w:tc>
          <w:tcPr>
            <w:tcW w:w="1653" w:type="dxa"/>
            <w:tcBorders>
              <w:top w:val="single" w:color="auto" w:sz="4" w:space="0"/>
              <w:bottom w:val="single" w:color="auto" w:sz="4" w:space="0"/>
            </w:tcBorders>
            <w:vAlign w:val="center"/>
          </w:tcPr>
          <w:p w14:paraId="576DF5FB">
            <w:pPr>
              <w:spacing w:before="62" w:after="62"/>
              <w:ind w:firstLine="402"/>
              <w:rPr>
                <w:rFonts w:ascii="Times New Roman" w:hAnsi="Times New Roman"/>
                <w:b/>
                <w:bCs/>
                <w:sz w:val="20"/>
                <w:szCs w:val="20"/>
              </w:rPr>
            </w:pPr>
            <w:r>
              <w:rPr>
                <w:rFonts w:hint="eastAsia" w:ascii="Times New Roman" w:hAnsi="Times New Roman"/>
                <w:b/>
                <w:bCs/>
                <w:sz w:val="20"/>
                <w:szCs w:val="20"/>
              </w:rPr>
              <w:t>总氮</w:t>
            </w:r>
          </w:p>
        </w:tc>
        <w:tc>
          <w:tcPr>
            <w:tcW w:w="1653" w:type="dxa"/>
            <w:tcBorders>
              <w:top w:val="single" w:color="auto" w:sz="4" w:space="0"/>
              <w:bottom w:val="single" w:color="auto" w:sz="4" w:space="0"/>
            </w:tcBorders>
            <w:vAlign w:val="center"/>
          </w:tcPr>
          <w:p w14:paraId="30827B9F">
            <w:pPr>
              <w:spacing w:before="62" w:after="62"/>
              <w:ind w:firstLine="402"/>
              <w:jc w:val="center"/>
              <w:rPr>
                <w:rFonts w:ascii="Times New Roman" w:hAnsi="Times New Roman"/>
                <w:b/>
                <w:bCs/>
                <w:sz w:val="20"/>
                <w:szCs w:val="20"/>
              </w:rPr>
            </w:pPr>
            <w:r>
              <w:rPr>
                <w:rFonts w:hint="eastAsia" w:ascii="Times New Roman" w:hAnsi="Times New Roman"/>
                <w:b/>
                <w:bCs/>
                <w:sz w:val="20"/>
                <w:szCs w:val="20"/>
              </w:rPr>
              <w:t>总磷</w:t>
            </w:r>
          </w:p>
        </w:tc>
        <w:tc>
          <w:tcPr>
            <w:tcW w:w="1653" w:type="dxa"/>
            <w:tcBorders>
              <w:top w:val="single" w:color="auto" w:sz="4" w:space="0"/>
              <w:bottom w:val="single" w:color="auto" w:sz="4" w:space="0"/>
            </w:tcBorders>
            <w:vAlign w:val="center"/>
          </w:tcPr>
          <w:p w14:paraId="18CD49A6">
            <w:pPr>
              <w:spacing w:before="62" w:after="62"/>
              <w:ind w:firstLine="402"/>
              <w:jc w:val="center"/>
              <w:rPr>
                <w:rFonts w:ascii="Times New Roman" w:hAnsi="Times New Roman"/>
                <w:b/>
                <w:bCs/>
                <w:sz w:val="20"/>
                <w:szCs w:val="20"/>
              </w:rPr>
            </w:pPr>
            <w:r>
              <w:rPr>
                <w:rFonts w:hint="eastAsia" w:ascii="Times New Roman" w:hAnsi="Times New Roman"/>
                <w:b/>
                <w:bCs/>
                <w:sz w:val="20"/>
                <w:szCs w:val="20"/>
              </w:rPr>
              <w:t>化学需氧量</w:t>
            </w:r>
          </w:p>
        </w:tc>
        <w:tc>
          <w:tcPr>
            <w:tcW w:w="1657" w:type="dxa"/>
            <w:tcBorders>
              <w:top w:val="single" w:color="auto" w:sz="4" w:space="0"/>
              <w:bottom w:val="single" w:color="auto" w:sz="4" w:space="0"/>
            </w:tcBorders>
            <w:vAlign w:val="center"/>
          </w:tcPr>
          <w:p w14:paraId="168F1257">
            <w:pPr>
              <w:spacing w:before="62" w:after="62"/>
              <w:ind w:firstLine="402"/>
              <w:jc w:val="center"/>
              <w:rPr>
                <w:rFonts w:ascii="Times New Roman" w:hAnsi="Times New Roman"/>
                <w:b/>
                <w:bCs/>
                <w:sz w:val="20"/>
                <w:szCs w:val="20"/>
              </w:rPr>
            </w:pPr>
            <w:r>
              <w:rPr>
                <w:rFonts w:hint="eastAsia" w:ascii="Times New Roman" w:hAnsi="Times New Roman"/>
                <w:b/>
                <w:bCs/>
                <w:sz w:val="20"/>
                <w:szCs w:val="20"/>
              </w:rPr>
              <w:t>铵态氮</w:t>
            </w:r>
          </w:p>
        </w:tc>
      </w:tr>
      <w:tr w14:paraId="110ED66E">
        <w:tblPrEx>
          <w:tblCellMar>
            <w:top w:w="0" w:type="dxa"/>
            <w:left w:w="108" w:type="dxa"/>
            <w:bottom w:w="0" w:type="dxa"/>
            <w:right w:w="108" w:type="dxa"/>
          </w:tblCellMar>
        </w:tblPrEx>
        <w:trPr>
          <w:trHeight w:val="298" w:hRule="atLeast"/>
          <w:jc w:val="center"/>
        </w:trPr>
        <w:tc>
          <w:tcPr>
            <w:tcW w:w="1653" w:type="dxa"/>
            <w:tcBorders>
              <w:top w:val="single" w:color="auto" w:sz="4" w:space="0"/>
            </w:tcBorders>
            <w:vAlign w:val="center"/>
          </w:tcPr>
          <w:p w14:paraId="0B0B1750">
            <w:pPr>
              <w:spacing w:before="62" w:after="62"/>
              <w:ind w:firstLine="402"/>
              <w:rPr>
                <w:rFonts w:ascii="Times New Roman" w:hAnsi="Times New Roman"/>
                <w:b w:val="0"/>
                <w:bCs w:val="0"/>
                <w:sz w:val="20"/>
                <w:szCs w:val="20"/>
              </w:rPr>
            </w:pPr>
            <w:r>
              <w:rPr>
                <w:rFonts w:hint="eastAsia" w:ascii="Times New Roman" w:hAnsi="Times New Roman"/>
                <w:b/>
                <w:bCs/>
                <w:sz w:val="20"/>
                <w:szCs w:val="20"/>
              </w:rPr>
              <w:t>中华绒螯蟹</w:t>
            </w:r>
          </w:p>
        </w:tc>
        <w:tc>
          <w:tcPr>
            <w:tcW w:w="1653" w:type="dxa"/>
            <w:tcBorders>
              <w:top w:val="single" w:color="auto" w:sz="4" w:space="0"/>
            </w:tcBorders>
            <w:vAlign w:val="center"/>
          </w:tcPr>
          <w:p w14:paraId="438A0612">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8.73</w:t>
            </w:r>
          </w:p>
        </w:tc>
        <w:tc>
          <w:tcPr>
            <w:tcW w:w="1653" w:type="dxa"/>
            <w:tcBorders>
              <w:top w:val="single" w:color="auto" w:sz="4" w:space="0"/>
            </w:tcBorders>
            <w:vAlign w:val="center"/>
          </w:tcPr>
          <w:p w14:paraId="2117A83F">
            <w:pPr>
              <w:spacing w:before="62" w:after="62"/>
              <w:ind w:firstLine="400"/>
              <w:rPr>
                <w:rFonts w:ascii="Times New Roman" w:hAnsi="Times New Roman"/>
                <w:sz w:val="20"/>
                <w:szCs w:val="20"/>
              </w:rPr>
            </w:pPr>
            <w:r>
              <w:rPr>
                <w:rFonts w:hint="eastAsia" w:ascii="Times New Roman" w:hAnsi="Times New Roman"/>
                <w:sz w:val="20"/>
                <w:szCs w:val="20"/>
              </w:rPr>
              <w:t>3</w:t>
            </w:r>
            <w:r>
              <w:rPr>
                <w:rFonts w:ascii="Times New Roman" w:hAnsi="Times New Roman"/>
                <w:sz w:val="20"/>
                <w:szCs w:val="20"/>
              </w:rPr>
              <w:t>.791</w:t>
            </w:r>
          </w:p>
        </w:tc>
        <w:tc>
          <w:tcPr>
            <w:tcW w:w="1653" w:type="dxa"/>
            <w:tcBorders>
              <w:top w:val="single" w:color="auto" w:sz="4" w:space="0"/>
            </w:tcBorders>
            <w:vAlign w:val="center"/>
          </w:tcPr>
          <w:p w14:paraId="239E4C36">
            <w:pPr>
              <w:spacing w:before="62" w:after="62"/>
              <w:ind w:firstLine="400"/>
              <w:rPr>
                <w:rFonts w:ascii="Times New Roman" w:hAnsi="Times New Roman"/>
                <w:sz w:val="20"/>
                <w:szCs w:val="20"/>
              </w:rPr>
            </w:pPr>
            <w:r>
              <w:rPr>
                <w:rFonts w:hint="eastAsia" w:ascii="Times New Roman" w:hAnsi="Times New Roman"/>
                <w:sz w:val="20"/>
                <w:szCs w:val="20"/>
              </w:rPr>
              <w:t>5</w:t>
            </w:r>
            <w:r>
              <w:rPr>
                <w:rFonts w:ascii="Times New Roman" w:hAnsi="Times New Roman"/>
                <w:sz w:val="20"/>
                <w:szCs w:val="20"/>
              </w:rPr>
              <w:t>4.76</w:t>
            </w:r>
          </w:p>
        </w:tc>
        <w:tc>
          <w:tcPr>
            <w:tcW w:w="1657" w:type="dxa"/>
            <w:tcBorders>
              <w:top w:val="single" w:color="auto" w:sz="4" w:space="0"/>
            </w:tcBorders>
            <w:vAlign w:val="center"/>
          </w:tcPr>
          <w:p w14:paraId="0ADE667F">
            <w:pPr>
              <w:spacing w:before="62" w:after="62"/>
              <w:ind w:firstLine="400"/>
              <w:rPr>
                <w:rFonts w:ascii="Times New Roman" w:hAnsi="Times New Roman"/>
                <w:sz w:val="20"/>
                <w:szCs w:val="20"/>
              </w:rPr>
            </w:pPr>
            <w:r>
              <w:rPr>
                <w:rFonts w:hint="eastAsia" w:ascii="Times New Roman" w:hAnsi="Times New Roman"/>
                <w:sz w:val="20"/>
                <w:szCs w:val="20"/>
              </w:rPr>
              <w:t>8</w:t>
            </w:r>
            <w:r>
              <w:rPr>
                <w:rFonts w:ascii="Times New Roman" w:hAnsi="Times New Roman"/>
                <w:sz w:val="20"/>
                <w:szCs w:val="20"/>
              </w:rPr>
              <w:t>3.31</w:t>
            </w:r>
          </w:p>
        </w:tc>
      </w:tr>
      <w:tr w14:paraId="5399CC22">
        <w:tblPrEx>
          <w:tblCellMar>
            <w:top w:w="0" w:type="dxa"/>
            <w:left w:w="108" w:type="dxa"/>
            <w:bottom w:w="0" w:type="dxa"/>
            <w:right w:w="108" w:type="dxa"/>
          </w:tblCellMar>
        </w:tblPrEx>
        <w:trPr>
          <w:trHeight w:val="302" w:hRule="atLeast"/>
          <w:jc w:val="center"/>
        </w:trPr>
        <w:tc>
          <w:tcPr>
            <w:tcW w:w="1653" w:type="dxa"/>
            <w:vAlign w:val="center"/>
          </w:tcPr>
          <w:p w14:paraId="0144E799">
            <w:pPr>
              <w:spacing w:before="62" w:after="62"/>
              <w:ind w:firstLine="402"/>
              <w:rPr>
                <w:rFonts w:ascii="Times New Roman" w:hAnsi="Times New Roman"/>
                <w:b w:val="0"/>
                <w:bCs w:val="0"/>
                <w:sz w:val="20"/>
                <w:szCs w:val="20"/>
              </w:rPr>
            </w:pPr>
            <w:r>
              <w:rPr>
                <w:rFonts w:hint="eastAsia" w:ascii="Times New Roman" w:hAnsi="Times New Roman"/>
                <w:b/>
                <w:bCs/>
                <w:sz w:val="20"/>
                <w:szCs w:val="20"/>
              </w:rPr>
              <w:t>日本沼虾</w:t>
            </w:r>
          </w:p>
        </w:tc>
        <w:tc>
          <w:tcPr>
            <w:tcW w:w="1653" w:type="dxa"/>
            <w:vAlign w:val="center"/>
          </w:tcPr>
          <w:p w14:paraId="4B757D72">
            <w:pPr>
              <w:spacing w:before="62" w:after="62"/>
              <w:ind w:firstLine="400"/>
              <w:rPr>
                <w:rFonts w:ascii="Times New Roman" w:hAnsi="Times New Roman"/>
                <w:sz w:val="20"/>
                <w:szCs w:val="20"/>
              </w:rPr>
            </w:pPr>
            <w:r>
              <w:rPr>
                <w:rFonts w:hint="eastAsia" w:ascii="Times New Roman" w:hAnsi="Times New Roman"/>
                <w:sz w:val="20"/>
                <w:szCs w:val="20"/>
              </w:rPr>
              <w:t>9</w:t>
            </w:r>
            <w:r>
              <w:rPr>
                <w:rFonts w:ascii="Times New Roman" w:hAnsi="Times New Roman"/>
                <w:sz w:val="20"/>
                <w:szCs w:val="20"/>
              </w:rPr>
              <w:t>.276</w:t>
            </w:r>
          </w:p>
        </w:tc>
        <w:tc>
          <w:tcPr>
            <w:tcW w:w="1653" w:type="dxa"/>
            <w:vAlign w:val="center"/>
          </w:tcPr>
          <w:p w14:paraId="755A6656">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.484</w:t>
            </w:r>
          </w:p>
        </w:tc>
        <w:tc>
          <w:tcPr>
            <w:tcW w:w="1653" w:type="dxa"/>
            <w:vAlign w:val="center"/>
          </w:tcPr>
          <w:p w14:paraId="2814FA70">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.4</w:t>
            </w:r>
          </w:p>
        </w:tc>
        <w:tc>
          <w:tcPr>
            <w:tcW w:w="1657" w:type="dxa"/>
            <w:vAlign w:val="center"/>
          </w:tcPr>
          <w:p w14:paraId="47D864A4">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.01</w:t>
            </w:r>
          </w:p>
        </w:tc>
      </w:tr>
      <w:tr w14:paraId="32729BAD">
        <w:tblPrEx>
          <w:tblCellMar>
            <w:top w:w="0" w:type="dxa"/>
            <w:left w:w="108" w:type="dxa"/>
            <w:bottom w:w="0" w:type="dxa"/>
            <w:right w:w="108" w:type="dxa"/>
          </w:tblCellMar>
        </w:tblPrEx>
        <w:trPr>
          <w:trHeight w:val="298" w:hRule="atLeast"/>
          <w:jc w:val="center"/>
        </w:trPr>
        <w:tc>
          <w:tcPr>
            <w:tcW w:w="1653" w:type="dxa"/>
            <w:vAlign w:val="center"/>
          </w:tcPr>
          <w:p w14:paraId="4E39050C">
            <w:pPr>
              <w:spacing w:before="62" w:after="62"/>
              <w:ind w:firstLine="402"/>
              <w:rPr>
                <w:rFonts w:ascii="Times New Roman" w:hAnsi="Times New Roman"/>
                <w:b w:val="0"/>
                <w:bCs w:val="0"/>
                <w:sz w:val="20"/>
                <w:szCs w:val="20"/>
              </w:rPr>
            </w:pPr>
            <w:r>
              <w:rPr>
                <w:rFonts w:hint="eastAsia" w:ascii="Times New Roman" w:hAnsi="Times New Roman"/>
                <w:b/>
                <w:bCs/>
                <w:sz w:val="20"/>
                <w:szCs w:val="20"/>
              </w:rPr>
              <w:t>克氏原螯虾</w:t>
            </w:r>
          </w:p>
        </w:tc>
        <w:tc>
          <w:tcPr>
            <w:tcW w:w="1653" w:type="dxa"/>
            <w:vAlign w:val="center"/>
          </w:tcPr>
          <w:p w14:paraId="7C838F3F">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2.93</w:t>
            </w:r>
          </w:p>
        </w:tc>
        <w:tc>
          <w:tcPr>
            <w:tcW w:w="1653" w:type="dxa"/>
            <w:vAlign w:val="center"/>
          </w:tcPr>
          <w:p w14:paraId="5E1B67AF">
            <w:pPr>
              <w:spacing w:before="62" w:after="62"/>
              <w:ind w:firstLine="400"/>
              <w:rPr>
                <w:rFonts w:ascii="Times New Roman" w:hAnsi="Times New Roman"/>
                <w:sz w:val="20"/>
                <w:szCs w:val="20"/>
              </w:rPr>
            </w:pPr>
            <w:r>
              <w:rPr>
                <w:rFonts w:hint="eastAsia" w:ascii="Times New Roman" w:hAnsi="Times New Roman"/>
                <w:sz w:val="20"/>
                <w:szCs w:val="20"/>
              </w:rPr>
              <w:t>3</w:t>
            </w:r>
            <w:r>
              <w:rPr>
                <w:rFonts w:ascii="Times New Roman" w:hAnsi="Times New Roman"/>
                <w:sz w:val="20"/>
                <w:szCs w:val="20"/>
              </w:rPr>
              <w:t>.077</w:t>
            </w:r>
          </w:p>
        </w:tc>
        <w:tc>
          <w:tcPr>
            <w:tcW w:w="1653" w:type="dxa"/>
            <w:vAlign w:val="center"/>
          </w:tcPr>
          <w:p w14:paraId="5C6591E5">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.46</w:t>
            </w:r>
          </w:p>
        </w:tc>
        <w:tc>
          <w:tcPr>
            <w:tcW w:w="1657" w:type="dxa"/>
            <w:vAlign w:val="center"/>
          </w:tcPr>
          <w:p w14:paraId="3F9AD88E">
            <w:pPr>
              <w:spacing w:before="62" w:after="62"/>
              <w:ind w:firstLine="400"/>
              <w:rPr>
                <w:rFonts w:ascii="Times New Roman" w:hAnsi="Times New Roman"/>
                <w:sz w:val="20"/>
                <w:szCs w:val="20"/>
              </w:rPr>
            </w:pPr>
            <w:r>
              <w:rPr>
                <w:rFonts w:hint="eastAsia" w:ascii="Times New Roman" w:hAnsi="Times New Roman"/>
                <w:sz w:val="20"/>
                <w:szCs w:val="20"/>
              </w:rPr>
              <w:t>3</w:t>
            </w:r>
            <w:r>
              <w:rPr>
                <w:rFonts w:ascii="Times New Roman" w:hAnsi="Times New Roman"/>
                <w:sz w:val="20"/>
                <w:szCs w:val="20"/>
              </w:rPr>
              <w:t>.21</w:t>
            </w:r>
          </w:p>
        </w:tc>
      </w:tr>
      <w:tr w14:paraId="370868BA">
        <w:tblPrEx>
          <w:tblCellMar>
            <w:top w:w="0" w:type="dxa"/>
            <w:left w:w="108" w:type="dxa"/>
            <w:bottom w:w="0" w:type="dxa"/>
            <w:right w:w="108" w:type="dxa"/>
          </w:tblCellMar>
        </w:tblPrEx>
        <w:trPr>
          <w:trHeight w:val="302" w:hRule="atLeast"/>
          <w:jc w:val="center"/>
        </w:trPr>
        <w:tc>
          <w:tcPr>
            <w:tcW w:w="1653" w:type="dxa"/>
            <w:vAlign w:val="center"/>
          </w:tcPr>
          <w:p w14:paraId="71CAF863">
            <w:pPr>
              <w:spacing w:before="62" w:after="62"/>
              <w:ind w:firstLine="402"/>
              <w:rPr>
                <w:rFonts w:ascii="Times New Roman" w:hAnsi="Times New Roman"/>
                <w:b w:val="0"/>
                <w:bCs w:val="0"/>
                <w:sz w:val="20"/>
                <w:szCs w:val="20"/>
              </w:rPr>
            </w:pPr>
            <w:r>
              <w:rPr>
                <w:rFonts w:hint="eastAsia" w:ascii="Times New Roman" w:hAnsi="Times New Roman"/>
                <w:b/>
                <w:bCs/>
                <w:sz w:val="20"/>
                <w:szCs w:val="20"/>
              </w:rPr>
              <w:t>罗氏沼虾</w:t>
            </w:r>
          </w:p>
        </w:tc>
        <w:tc>
          <w:tcPr>
            <w:tcW w:w="1653" w:type="dxa"/>
            <w:vAlign w:val="center"/>
          </w:tcPr>
          <w:p w14:paraId="12A7E52E">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0.93</w:t>
            </w:r>
          </w:p>
        </w:tc>
        <w:tc>
          <w:tcPr>
            <w:tcW w:w="1653" w:type="dxa"/>
            <w:vAlign w:val="center"/>
          </w:tcPr>
          <w:p w14:paraId="4E0FC8E3">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1.32</w:t>
            </w:r>
          </w:p>
        </w:tc>
        <w:tc>
          <w:tcPr>
            <w:tcW w:w="1653" w:type="dxa"/>
            <w:vAlign w:val="center"/>
          </w:tcPr>
          <w:p w14:paraId="4E9A88A0">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3.44</w:t>
            </w:r>
          </w:p>
        </w:tc>
        <w:tc>
          <w:tcPr>
            <w:tcW w:w="1657" w:type="dxa"/>
            <w:vAlign w:val="center"/>
          </w:tcPr>
          <w:p w14:paraId="19784C00">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.34</w:t>
            </w:r>
          </w:p>
        </w:tc>
      </w:tr>
      <w:tr w14:paraId="54E8DF36">
        <w:tblPrEx>
          <w:tblCellMar>
            <w:top w:w="0" w:type="dxa"/>
            <w:left w:w="108" w:type="dxa"/>
            <w:bottom w:w="0" w:type="dxa"/>
            <w:right w:w="108" w:type="dxa"/>
          </w:tblCellMar>
        </w:tblPrEx>
        <w:trPr>
          <w:trHeight w:val="298" w:hRule="atLeast"/>
          <w:jc w:val="center"/>
        </w:trPr>
        <w:tc>
          <w:tcPr>
            <w:tcW w:w="1653" w:type="dxa"/>
            <w:vAlign w:val="center"/>
          </w:tcPr>
          <w:p w14:paraId="58A68168">
            <w:pPr>
              <w:spacing w:before="62" w:after="62"/>
              <w:ind w:firstLine="402"/>
              <w:rPr>
                <w:rFonts w:ascii="Times New Roman" w:hAnsi="Times New Roman"/>
                <w:b w:val="0"/>
                <w:bCs w:val="0"/>
                <w:sz w:val="20"/>
                <w:szCs w:val="20"/>
              </w:rPr>
            </w:pPr>
            <w:r>
              <w:rPr>
                <w:rFonts w:hint="eastAsia" w:ascii="Times New Roman" w:hAnsi="Times New Roman"/>
                <w:b/>
                <w:bCs/>
                <w:sz w:val="20"/>
                <w:szCs w:val="20"/>
              </w:rPr>
              <w:t>南美白对虾</w:t>
            </w:r>
          </w:p>
        </w:tc>
        <w:tc>
          <w:tcPr>
            <w:tcW w:w="1653" w:type="dxa"/>
            <w:vAlign w:val="center"/>
          </w:tcPr>
          <w:p w14:paraId="06BF6AD2">
            <w:pPr>
              <w:spacing w:before="62" w:after="62"/>
              <w:ind w:firstLine="400"/>
              <w:rPr>
                <w:rFonts w:ascii="Times New Roman" w:hAnsi="Times New Roman"/>
                <w:sz w:val="20"/>
                <w:szCs w:val="20"/>
              </w:rPr>
            </w:pPr>
            <w:r>
              <w:rPr>
                <w:rFonts w:hint="eastAsia" w:ascii="Times New Roman" w:hAnsi="Times New Roman"/>
                <w:sz w:val="20"/>
                <w:szCs w:val="20"/>
              </w:rPr>
              <w:t>4</w:t>
            </w:r>
            <w:r>
              <w:rPr>
                <w:rFonts w:ascii="Times New Roman" w:hAnsi="Times New Roman"/>
                <w:sz w:val="20"/>
                <w:szCs w:val="20"/>
              </w:rPr>
              <w:t>.48</w:t>
            </w:r>
          </w:p>
        </w:tc>
        <w:tc>
          <w:tcPr>
            <w:tcW w:w="1653" w:type="dxa"/>
            <w:vAlign w:val="center"/>
          </w:tcPr>
          <w:p w14:paraId="7871AD50">
            <w:pPr>
              <w:spacing w:before="62" w:after="62"/>
              <w:ind w:firstLine="400"/>
              <w:rPr>
                <w:rFonts w:ascii="Times New Roman" w:hAnsi="Times New Roman"/>
                <w:sz w:val="20"/>
                <w:szCs w:val="20"/>
              </w:rPr>
            </w:pPr>
            <w:r>
              <w:rPr>
                <w:rFonts w:hint="eastAsia" w:ascii="Times New Roman" w:hAnsi="Times New Roman"/>
                <w:sz w:val="20"/>
                <w:szCs w:val="20"/>
              </w:rPr>
              <w:t>4</w:t>
            </w:r>
            <w:r>
              <w:rPr>
                <w:rFonts w:ascii="Times New Roman" w:hAnsi="Times New Roman"/>
                <w:sz w:val="20"/>
                <w:szCs w:val="20"/>
              </w:rPr>
              <w:t>.652</w:t>
            </w:r>
            <w:r>
              <w:rPr>
                <w:rFonts w:hint="eastAsia"/>
                <w:sz w:val="20"/>
                <w:szCs w:val="20"/>
              </w:rPr>
              <w:t>×</w:t>
            </w:r>
            <w:r>
              <w:rPr>
                <w:rFonts w:ascii="Times New Roman" w:hAnsi="Times New Roman"/>
                <w:sz w:val="20"/>
                <w:szCs w:val="20"/>
              </w:rPr>
              <w:t>10</w:t>
            </w:r>
            <w:r>
              <w:rPr>
                <w:rFonts w:hint="eastAsia" w:ascii="Times New Roman" w:hAnsi="Times New Roman"/>
                <w:sz w:val="20"/>
                <w:szCs w:val="20"/>
                <w:vertAlign w:val="superscript"/>
              </w:rPr>
              <w:t>-</w:t>
            </w:r>
            <w:r>
              <w:rPr>
                <w:rFonts w:ascii="Times New Roman" w:hAnsi="Times New Roman"/>
                <w:sz w:val="20"/>
                <w:szCs w:val="20"/>
                <w:vertAlign w:val="superscript"/>
              </w:rPr>
              <w:t>4</w:t>
            </w:r>
          </w:p>
        </w:tc>
        <w:tc>
          <w:tcPr>
            <w:tcW w:w="1653" w:type="dxa"/>
            <w:vAlign w:val="center"/>
          </w:tcPr>
          <w:p w14:paraId="3C12CAA7">
            <w:pPr>
              <w:spacing w:before="62" w:after="62"/>
              <w:ind w:firstLine="400"/>
              <w:rPr>
                <w:rFonts w:ascii="Times New Roman" w:hAnsi="Times New Roman"/>
                <w:sz w:val="20"/>
                <w:szCs w:val="20"/>
              </w:rPr>
            </w:pPr>
            <w:r>
              <w:rPr>
                <w:rFonts w:hint="eastAsia" w:ascii="Times New Roman" w:hAnsi="Times New Roman"/>
                <w:sz w:val="20"/>
                <w:szCs w:val="20"/>
              </w:rPr>
              <w:t>3</w:t>
            </w:r>
            <w:r>
              <w:rPr>
                <w:rFonts w:ascii="Times New Roman" w:hAnsi="Times New Roman"/>
                <w:sz w:val="20"/>
                <w:szCs w:val="20"/>
              </w:rPr>
              <w:t>2.88</w:t>
            </w:r>
          </w:p>
        </w:tc>
        <w:tc>
          <w:tcPr>
            <w:tcW w:w="1657" w:type="dxa"/>
            <w:vAlign w:val="center"/>
          </w:tcPr>
          <w:p w14:paraId="37F5346C">
            <w:pPr>
              <w:spacing w:before="62" w:after="62"/>
              <w:ind w:firstLine="400"/>
              <w:rPr>
                <w:rFonts w:ascii="Times New Roman" w:hAnsi="Times New Roman"/>
                <w:sz w:val="20"/>
                <w:szCs w:val="20"/>
              </w:rPr>
            </w:pPr>
            <w:r>
              <w:rPr>
                <w:rFonts w:hint="eastAsia" w:ascii="Times New Roman" w:hAnsi="Times New Roman"/>
                <w:sz w:val="20"/>
                <w:szCs w:val="20"/>
              </w:rPr>
              <w:t>0</w:t>
            </w:r>
            <w:r>
              <w:rPr>
                <w:rFonts w:ascii="Times New Roman" w:hAnsi="Times New Roman"/>
                <w:sz w:val="20"/>
                <w:szCs w:val="20"/>
              </w:rPr>
              <w:t>.50</w:t>
            </w:r>
          </w:p>
        </w:tc>
      </w:tr>
      <w:tr w14:paraId="1411C288">
        <w:tblPrEx>
          <w:tblCellMar>
            <w:top w:w="0" w:type="dxa"/>
            <w:left w:w="108" w:type="dxa"/>
            <w:bottom w:w="0" w:type="dxa"/>
            <w:right w:w="108" w:type="dxa"/>
          </w:tblCellMar>
        </w:tblPrEx>
        <w:trPr>
          <w:trHeight w:val="302" w:hRule="atLeast"/>
          <w:jc w:val="center"/>
        </w:trPr>
        <w:tc>
          <w:tcPr>
            <w:tcW w:w="1653" w:type="dxa"/>
            <w:vAlign w:val="center"/>
          </w:tcPr>
          <w:p w14:paraId="04C7FB81">
            <w:pPr>
              <w:spacing w:before="62" w:after="62"/>
              <w:ind w:firstLine="402"/>
              <w:rPr>
                <w:rFonts w:ascii="Times New Roman" w:hAnsi="Times New Roman"/>
                <w:b w:val="0"/>
                <w:bCs w:val="0"/>
                <w:sz w:val="20"/>
                <w:szCs w:val="20"/>
              </w:rPr>
            </w:pPr>
            <w:r>
              <w:rPr>
                <w:rFonts w:hint="eastAsia" w:ascii="Times New Roman" w:hAnsi="Times New Roman"/>
                <w:b/>
                <w:bCs/>
                <w:sz w:val="20"/>
                <w:szCs w:val="20"/>
              </w:rPr>
              <w:t>青鱼</w:t>
            </w:r>
          </w:p>
        </w:tc>
        <w:tc>
          <w:tcPr>
            <w:tcW w:w="1653" w:type="dxa"/>
            <w:vAlign w:val="center"/>
          </w:tcPr>
          <w:p w14:paraId="07083206">
            <w:pPr>
              <w:spacing w:before="62" w:after="62"/>
              <w:ind w:firstLine="400"/>
              <w:rPr>
                <w:rFonts w:ascii="Times New Roman" w:hAnsi="Times New Roman"/>
                <w:sz w:val="20"/>
                <w:szCs w:val="20"/>
              </w:rPr>
            </w:pPr>
            <w:r>
              <w:rPr>
                <w:rFonts w:hint="eastAsia" w:ascii="Times New Roman" w:hAnsi="Times New Roman"/>
                <w:sz w:val="20"/>
                <w:szCs w:val="20"/>
              </w:rPr>
              <w:t>7</w:t>
            </w:r>
            <w:r>
              <w:rPr>
                <w:rFonts w:ascii="Times New Roman" w:hAnsi="Times New Roman"/>
                <w:sz w:val="20"/>
                <w:szCs w:val="20"/>
              </w:rPr>
              <w:t>.66</w:t>
            </w:r>
          </w:p>
        </w:tc>
        <w:tc>
          <w:tcPr>
            <w:tcW w:w="1653" w:type="dxa"/>
            <w:vAlign w:val="center"/>
          </w:tcPr>
          <w:p w14:paraId="6073BF75">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.40</w:t>
            </w:r>
          </w:p>
        </w:tc>
        <w:tc>
          <w:tcPr>
            <w:tcW w:w="1653" w:type="dxa"/>
            <w:vAlign w:val="center"/>
          </w:tcPr>
          <w:p w14:paraId="5384DCF2">
            <w:pPr>
              <w:spacing w:before="62" w:after="62"/>
              <w:ind w:firstLine="400"/>
              <w:rPr>
                <w:rFonts w:ascii="Times New Roman" w:hAnsi="Times New Roman"/>
                <w:sz w:val="20"/>
                <w:szCs w:val="20"/>
              </w:rPr>
            </w:pPr>
            <w:r>
              <w:rPr>
                <w:rFonts w:hint="eastAsia" w:ascii="Times New Roman" w:hAnsi="Times New Roman"/>
                <w:sz w:val="20"/>
                <w:szCs w:val="20"/>
              </w:rPr>
              <w:t>3</w:t>
            </w:r>
            <w:r>
              <w:rPr>
                <w:rFonts w:ascii="Times New Roman" w:hAnsi="Times New Roman"/>
                <w:sz w:val="20"/>
                <w:szCs w:val="20"/>
              </w:rPr>
              <w:t>2.76</w:t>
            </w:r>
          </w:p>
        </w:tc>
        <w:tc>
          <w:tcPr>
            <w:tcW w:w="1657" w:type="dxa"/>
            <w:vAlign w:val="center"/>
          </w:tcPr>
          <w:p w14:paraId="2B1D09E8">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.98</w:t>
            </w:r>
          </w:p>
        </w:tc>
      </w:tr>
      <w:tr w14:paraId="273A4CFA">
        <w:tblPrEx>
          <w:tblCellMar>
            <w:top w:w="0" w:type="dxa"/>
            <w:left w:w="108" w:type="dxa"/>
            <w:bottom w:w="0" w:type="dxa"/>
            <w:right w:w="108" w:type="dxa"/>
          </w:tblCellMar>
        </w:tblPrEx>
        <w:trPr>
          <w:trHeight w:val="298" w:hRule="atLeast"/>
          <w:jc w:val="center"/>
        </w:trPr>
        <w:tc>
          <w:tcPr>
            <w:tcW w:w="1653" w:type="dxa"/>
            <w:vAlign w:val="center"/>
          </w:tcPr>
          <w:p w14:paraId="08608632">
            <w:pPr>
              <w:spacing w:before="62" w:after="62"/>
              <w:ind w:firstLine="402"/>
              <w:rPr>
                <w:rFonts w:ascii="Times New Roman" w:hAnsi="Times New Roman"/>
                <w:b w:val="0"/>
                <w:bCs w:val="0"/>
                <w:sz w:val="20"/>
                <w:szCs w:val="20"/>
              </w:rPr>
            </w:pPr>
            <w:r>
              <w:rPr>
                <w:rFonts w:hint="eastAsia" w:ascii="Times New Roman" w:hAnsi="Times New Roman"/>
                <w:b/>
                <w:bCs/>
                <w:sz w:val="20"/>
                <w:szCs w:val="20"/>
              </w:rPr>
              <w:t>草鱼</w:t>
            </w:r>
          </w:p>
        </w:tc>
        <w:tc>
          <w:tcPr>
            <w:tcW w:w="1653" w:type="dxa"/>
            <w:vAlign w:val="center"/>
          </w:tcPr>
          <w:p w14:paraId="7A08D4C6">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8.12</w:t>
            </w:r>
          </w:p>
        </w:tc>
        <w:tc>
          <w:tcPr>
            <w:tcW w:w="1653" w:type="dxa"/>
            <w:vAlign w:val="center"/>
          </w:tcPr>
          <w:p w14:paraId="3FD79B01">
            <w:pPr>
              <w:spacing w:before="62" w:after="62"/>
              <w:ind w:firstLine="400"/>
              <w:rPr>
                <w:rFonts w:ascii="Times New Roman" w:hAnsi="Times New Roman"/>
                <w:sz w:val="20"/>
                <w:szCs w:val="20"/>
              </w:rPr>
            </w:pPr>
            <w:r>
              <w:rPr>
                <w:rFonts w:hint="eastAsia" w:ascii="Times New Roman" w:hAnsi="Times New Roman"/>
                <w:sz w:val="20"/>
                <w:szCs w:val="20"/>
              </w:rPr>
              <w:t>5</w:t>
            </w:r>
            <w:r>
              <w:rPr>
                <w:rFonts w:ascii="Times New Roman" w:hAnsi="Times New Roman"/>
                <w:sz w:val="20"/>
                <w:szCs w:val="20"/>
              </w:rPr>
              <w:t>.87</w:t>
            </w:r>
          </w:p>
        </w:tc>
        <w:tc>
          <w:tcPr>
            <w:tcW w:w="1653" w:type="dxa"/>
            <w:vAlign w:val="center"/>
          </w:tcPr>
          <w:p w14:paraId="4D623E91">
            <w:pPr>
              <w:spacing w:before="62" w:after="62"/>
              <w:ind w:firstLine="400"/>
              <w:rPr>
                <w:rFonts w:ascii="Times New Roman" w:hAnsi="Times New Roman"/>
                <w:sz w:val="20"/>
                <w:szCs w:val="20"/>
              </w:rPr>
            </w:pPr>
            <w:r>
              <w:rPr>
                <w:rFonts w:hint="eastAsia" w:ascii="Times New Roman" w:hAnsi="Times New Roman"/>
                <w:sz w:val="20"/>
                <w:szCs w:val="20"/>
              </w:rPr>
              <w:t>4</w:t>
            </w:r>
            <w:r>
              <w:rPr>
                <w:rFonts w:ascii="Times New Roman" w:hAnsi="Times New Roman"/>
                <w:sz w:val="20"/>
                <w:szCs w:val="20"/>
              </w:rPr>
              <w:t>4.48</w:t>
            </w:r>
          </w:p>
        </w:tc>
        <w:tc>
          <w:tcPr>
            <w:tcW w:w="1657" w:type="dxa"/>
            <w:vAlign w:val="center"/>
          </w:tcPr>
          <w:p w14:paraId="4D072C46">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.443</w:t>
            </w:r>
          </w:p>
        </w:tc>
      </w:tr>
      <w:tr w14:paraId="6CF17347">
        <w:tblPrEx>
          <w:tblCellMar>
            <w:top w:w="0" w:type="dxa"/>
            <w:left w:w="108" w:type="dxa"/>
            <w:bottom w:w="0" w:type="dxa"/>
            <w:right w:w="108" w:type="dxa"/>
          </w:tblCellMar>
        </w:tblPrEx>
        <w:trPr>
          <w:trHeight w:val="302" w:hRule="atLeast"/>
          <w:jc w:val="center"/>
        </w:trPr>
        <w:tc>
          <w:tcPr>
            <w:tcW w:w="1653" w:type="dxa"/>
            <w:vAlign w:val="center"/>
          </w:tcPr>
          <w:p w14:paraId="02A7DA9B">
            <w:pPr>
              <w:spacing w:before="62" w:after="62"/>
              <w:ind w:firstLine="402"/>
              <w:rPr>
                <w:rFonts w:ascii="Times New Roman" w:hAnsi="Times New Roman"/>
                <w:b w:val="0"/>
                <w:bCs w:val="0"/>
                <w:sz w:val="20"/>
                <w:szCs w:val="20"/>
              </w:rPr>
            </w:pPr>
            <w:r>
              <w:rPr>
                <w:rFonts w:hint="eastAsia" w:ascii="Times New Roman" w:hAnsi="Times New Roman"/>
                <w:b/>
                <w:bCs/>
                <w:sz w:val="20"/>
                <w:szCs w:val="20"/>
              </w:rPr>
              <w:t>鲢</w:t>
            </w:r>
          </w:p>
        </w:tc>
        <w:tc>
          <w:tcPr>
            <w:tcW w:w="1653" w:type="dxa"/>
            <w:vAlign w:val="center"/>
          </w:tcPr>
          <w:p w14:paraId="7C7A203B">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7.81</w:t>
            </w:r>
          </w:p>
        </w:tc>
        <w:tc>
          <w:tcPr>
            <w:tcW w:w="1653" w:type="dxa"/>
            <w:vAlign w:val="center"/>
          </w:tcPr>
          <w:p w14:paraId="743372EA">
            <w:pPr>
              <w:spacing w:before="62" w:after="62"/>
              <w:ind w:firstLine="400"/>
              <w:rPr>
                <w:rFonts w:ascii="Times New Roman" w:hAnsi="Times New Roman"/>
                <w:sz w:val="20"/>
                <w:szCs w:val="20"/>
              </w:rPr>
            </w:pPr>
            <w:r>
              <w:rPr>
                <w:rFonts w:hint="eastAsia" w:ascii="Times New Roman" w:hAnsi="Times New Roman"/>
                <w:sz w:val="20"/>
                <w:szCs w:val="20"/>
              </w:rPr>
              <w:t>3</w:t>
            </w:r>
            <w:r>
              <w:rPr>
                <w:rFonts w:ascii="Times New Roman" w:hAnsi="Times New Roman"/>
                <w:sz w:val="20"/>
                <w:szCs w:val="20"/>
              </w:rPr>
              <w:t>.09</w:t>
            </w:r>
          </w:p>
        </w:tc>
        <w:tc>
          <w:tcPr>
            <w:tcW w:w="1653" w:type="dxa"/>
            <w:vAlign w:val="center"/>
          </w:tcPr>
          <w:p w14:paraId="74CC791C">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8.51</w:t>
            </w:r>
          </w:p>
        </w:tc>
        <w:tc>
          <w:tcPr>
            <w:tcW w:w="1657" w:type="dxa"/>
            <w:vAlign w:val="center"/>
          </w:tcPr>
          <w:p w14:paraId="634F1BFC">
            <w:pPr>
              <w:spacing w:before="62" w:after="62"/>
              <w:ind w:firstLine="400"/>
              <w:rPr>
                <w:rFonts w:ascii="Times New Roman" w:hAnsi="Times New Roman"/>
                <w:sz w:val="20"/>
                <w:szCs w:val="20"/>
              </w:rPr>
            </w:pPr>
            <w:r>
              <w:rPr>
                <w:rFonts w:hint="eastAsia" w:ascii="Times New Roman" w:hAnsi="Times New Roman"/>
                <w:sz w:val="20"/>
                <w:szCs w:val="20"/>
              </w:rPr>
              <w:t>4</w:t>
            </w:r>
            <w:r>
              <w:rPr>
                <w:rFonts w:ascii="Times New Roman" w:hAnsi="Times New Roman"/>
                <w:sz w:val="20"/>
                <w:szCs w:val="20"/>
              </w:rPr>
              <w:t>.74</w:t>
            </w:r>
          </w:p>
        </w:tc>
      </w:tr>
      <w:tr w14:paraId="739CCADC">
        <w:tblPrEx>
          <w:tblCellMar>
            <w:top w:w="0" w:type="dxa"/>
            <w:left w:w="108" w:type="dxa"/>
            <w:bottom w:w="0" w:type="dxa"/>
            <w:right w:w="108" w:type="dxa"/>
          </w:tblCellMar>
        </w:tblPrEx>
        <w:trPr>
          <w:trHeight w:val="298" w:hRule="atLeast"/>
          <w:jc w:val="center"/>
        </w:trPr>
        <w:tc>
          <w:tcPr>
            <w:tcW w:w="1653" w:type="dxa"/>
            <w:vAlign w:val="center"/>
          </w:tcPr>
          <w:p w14:paraId="05E057BE">
            <w:pPr>
              <w:spacing w:before="62" w:after="62"/>
              <w:ind w:firstLine="402"/>
              <w:rPr>
                <w:rFonts w:ascii="Times New Roman" w:hAnsi="Times New Roman"/>
                <w:b w:val="0"/>
                <w:bCs w:val="0"/>
                <w:sz w:val="20"/>
                <w:szCs w:val="20"/>
              </w:rPr>
            </w:pPr>
            <w:r>
              <w:rPr>
                <w:rFonts w:hint="eastAsia" w:ascii="Times New Roman" w:hAnsi="Times New Roman"/>
                <w:b/>
                <w:bCs/>
                <w:sz w:val="20"/>
                <w:szCs w:val="20"/>
              </w:rPr>
              <w:t>鳙</w:t>
            </w:r>
          </w:p>
        </w:tc>
        <w:tc>
          <w:tcPr>
            <w:tcW w:w="1653" w:type="dxa"/>
            <w:vAlign w:val="center"/>
          </w:tcPr>
          <w:p w14:paraId="0A92CBB3">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0.48</w:t>
            </w:r>
          </w:p>
        </w:tc>
        <w:tc>
          <w:tcPr>
            <w:tcW w:w="1653" w:type="dxa"/>
            <w:vAlign w:val="center"/>
          </w:tcPr>
          <w:p w14:paraId="3C9D43EE">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.31</w:t>
            </w:r>
          </w:p>
        </w:tc>
        <w:tc>
          <w:tcPr>
            <w:tcW w:w="1653" w:type="dxa"/>
            <w:vAlign w:val="center"/>
          </w:tcPr>
          <w:p w14:paraId="7843DA3F">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2.20</w:t>
            </w:r>
          </w:p>
        </w:tc>
        <w:tc>
          <w:tcPr>
            <w:tcW w:w="1657" w:type="dxa"/>
            <w:vAlign w:val="center"/>
          </w:tcPr>
          <w:p w14:paraId="5E18AC74">
            <w:pPr>
              <w:spacing w:before="62" w:after="62"/>
              <w:ind w:firstLine="400"/>
              <w:rPr>
                <w:rFonts w:ascii="Times New Roman" w:hAnsi="Times New Roman"/>
                <w:sz w:val="20"/>
                <w:szCs w:val="20"/>
              </w:rPr>
            </w:pPr>
            <w:r>
              <w:rPr>
                <w:rFonts w:hint="eastAsia" w:ascii="Times New Roman" w:hAnsi="Times New Roman"/>
                <w:sz w:val="20"/>
                <w:szCs w:val="20"/>
              </w:rPr>
              <w:t>4</w:t>
            </w:r>
            <w:r>
              <w:rPr>
                <w:rFonts w:ascii="Times New Roman" w:hAnsi="Times New Roman"/>
                <w:sz w:val="20"/>
                <w:szCs w:val="20"/>
              </w:rPr>
              <w:t>.07</w:t>
            </w:r>
          </w:p>
        </w:tc>
      </w:tr>
      <w:tr w14:paraId="1AB2C56C">
        <w:tblPrEx>
          <w:tblCellMar>
            <w:top w:w="0" w:type="dxa"/>
            <w:left w:w="108" w:type="dxa"/>
            <w:bottom w:w="0" w:type="dxa"/>
            <w:right w:w="108" w:type="dxa"/>
          </w:tblCellMar>
        </w:tblPrEx>
        <w:trPr>
          <w:trHeight w:val="302" w:hRule="atLeast"/>
          <w:jc w:val="center"/>
        </w:trPr>
        <w:tc>
          <w:tcPr>
            <w:tcW w:w="1653" w:type="dxa"/>
            <w:vAlign w:val="center"/>
          </w:tcPr>
          <w:p w14:paraId="611F4943">
            <w:pPr>
              <w:spacing w:before="62" w:after="62"/>
              <w:ind w:firstLine="402"/>
              <w:rPr>
                <w:rFonts w:ascii="Times New Roman" w:hAnsi="Times New Roman"/>
                <w:b w:val="0"/>
                <w:bCs w:val="0"/>
                <w:sz w:val="20"/>
                <w:szCs w:val="20"/>
              </w:rPr>
            </w:pPr>
            <w:r>
              <w:rPr>
                <w:rFonts w:hint="eastAsia" w:ascii="Times New Roman" w:hAnsi="Times New Roman"/>
                <w:b/>
                <w:bCs/>
                <w:sz w:val="20"/>
                <w:szCs w:val="20"/>
              </w:rPr>
              <w:t>黄颡鱼</w:t>
            </w:r>
          </w:p>
        </w:tc>
        <w:tc>
          <w:tcPr>
            <w:tcW w:w="1653" w:type="dxa"/>
            <w:vAlign w:val="center"/>
          </w:tcPr>
          <w:p w14:paraId="084A8C8C">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6.61</w:t>
            </w:r>
          </w:p>
        </w:tc>
        <w:tc>
          <w:tcPr>
            <w:tcW w:w="1653" w:type="dxa"/>
            <w:vAlign w:val="center"/>
          </w:tcPr>
          <w:p w14:paraId="2EFE9E58">
            <w:pPr>
              <w:spacing w:before="62" w:after="62"/>
              <w:ind w:firstLine="400"/>
              <w:rPr>
                <w:rFonts w:ascii="Times New Roman" w:hAnsi="Times New Roman"/>
                <w:sz w:val="20"/>
                <w:szCs w:val="20"/>
              </w:rPr>
            </w:pPr>
            <w:r>
              <w:rPr>
                <w:rFonts w:hint="eastAsia" w:ascii="Times New Roman" w:hAnsi="Times New Roman"/>
                <w:sz w:val="20"/>
                <w:szCs w:val="20"/>
              </w:rPr>
              <w:t>3</w:t>
            </w:r>
            <w:r>
              <w:rPr>
                <w:rFonts w:ascii="Times New Roman" w:hAnsi="Times New Roman"/>
                <w:sz w:val="20"/>
                <w:szCs w:val="20"/>
              </w:rPr>
              <w:t>.45</w:t>
            </w:r>
          </w:p>
        </w:tc>
        <w:tc>
          <w:tcPr>
            <w:tcW w:w="1653" w:type="dxa"/>
            <w:vAlign w:val="center"/>
          </w:tcPr>
          <w:p w14:paraId="790D5462">
            <w:pPr>
              <w:spacing w:before="62" w:after="62"/>
              <w:ind w:firstLine="400"/>
              <w:rPr>
                <w:rFonts w:ascii="Times New Roman" w:hAnsi="Times New Roman"/>
                <w:sz w:val="20"/>
                <w:szCs w:val="20"/>
              </w:rPr>
            </w:pPr>
            <w:r>
              <w:rPr>
                <w:rFonts w:hint="eastAsia" w:ascii="Times New Roman" w:hAnsi="Times New Roman"/>
                <w:sz w:val="20"/>
                <w:szCs w:val="20"/>
              </w:rPr>
              <w:t>7</w:t>
            </w:r>
            <w:r>
              <w:rPr>
                <w:rFonts w:ascii="Times New Roman" w:hAnsi="Times New Roman"/>
                <w:sz w:val="20"/>
                <w:szCs w:val="20"/>
              </w:rPr>
              <w:t>1.24</w:t>
            </w:r>
          </w:p>
        </w:tc>
        <w:tc>
          <w:tcPr>
            <w:tcW w:w="1657" w:type="dxa"/>
            <w:vAlign w:val="center"/>
          </w:tcPr>
          <w:p w14:paraId="0F6B1935">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.44</w:t>
            </w:r>
          </w:p>
        </w:tc>
      </w:tr>
      <w:tr w14:paraId="00FB33C2">
        <w:tblPrEx>
          <w:tblCellMar>
            <w:top w:w="0" w:type="dxa"/>
            <w:left w:w="108" w:type="dxa"/>
            <w:bottom w:w="0" w:type="dxa"/>
            <w:right w:w="108" w:type="dxa"/>
          </w:tblCellMar>
        </w:tblPrEx>
        <w:trPr>
          <w:trHeight w:val="298" w:hRule="atLeast"/>
          <w:jc w:val="center"/>
        </w:trPr>
        <w:tc>
          <w:tcPr>
            <w:tcW w:w="1653" w:type="dxa"/>
            <w:vAlign w:val="center"/>
          </w:tcPr>
          <w:p w14:paraId="574C786E">
            <w:pPr>
              <w:spacing w:before="62" w:after="62"/>
              <w:ind w:firstLine="402"/>
              <w:rPr>
                <w:rFonts w:ascii="Times New Roman" w:hAnsi="Times New Roman"/>
                <w:b w:val="0"/>
                <w:bCs w:val="0"/>
                <w:sz w:val="20"/>
                <w:szCs w:val="20"/>
              </w:rPr>
            </w:pPr>
            <w:r>
              <w:rPr>
                <w:rFonts w:hint="eastAsia" w:ascii="Times New Roman" w:hAnsi="Times New Roman"/>
                <w:b/>
                <w:bCs/>
                <w:sz w:val="20"/>
                <w:szCs w:val="20"/>
              </w:rPr>
              <w:t>加州鲈</w:t>
            </w:r>
          </w:p>
        </w:tc>
        <w:tc>
          <w:tcPr>
            <w:tcW w:w="1653" w:type="dxa"/>
            <w:vAlign w:val="center"/>
          </w:tcPr>
          <w:p w14:paraId="2BB4F6A5">
            <w:pPr>
              <w:spacing w:before="62" w:after="62"/>
              <w:ind w:firstLine="400"/>
              <w:rPr>
                <w:rFonts w:ascii="Times New Roman" w:hAnsi="Times New Roman"/>
                <w:sz w:val="20"/>
                <w:szCs w:val="20"/>
              </w:rPr>
            </w:pPr>
            <w:r>
              <w:rPr>
                <w:rFonts w:hint="eastAsia" w:ascii="Times New Roman" w:hAnsi="Times New Roman"/>
                <w:sz w:val="20"/>
                <w:szCs w:val="20"/>
              </w:rPr>
              <w:t>8</w:t>
            </w:r>
            <w:r>
              <w:rPr>
                <w:rFonts w:ascii="Times New Roman" w:hAnsi="Times New Roman"/>
                <w:sz w:val="20"/>
                <w:szCs w:val="20"/>
              </w:rPr>
              <w:t>5.17</w:t>
            </w:r>
          </w:p>
        </w:tc>
        <w:tc>
          <w:tcPr>
            <w:tcW w:w="1653" w:type="dxa"/>
            <w:vAlign w:val="center"/>
          </w:tcPr>
          <w:p w14:paraId="5866D3E2">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5.83</w:t>
            </w:r>
          </w:p>
        </w:tc>
        <w:tc>
          <w:tcPr>
            <w:tcW w:w="1653" w:type="dxa"/>
            <w:vAlign w:val="center"/>
          </w:tcPr>
          <w:p w14:paraId="7BDB6AED">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87.70</w:t>
            </w:r>
          </w:p>
        </w:tc>
        <w:tc>
          <w:tcPr>
            <w:tcW w:w="1657" w:type="dxa"/>
            <w:vAlign w:val="center"/>
          </w:tcPr>
          <w:p w14:paraId="2BA20088">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2.03</w:t>
            </w:r>
          </w:p>
        </w:tc>
      </w:tr>
      <w:tr w14:paraId="33014ADE">
        <w:tblPrEx>
          <w:tblCellMar>
            <w:top w:w="0" w:type="dxa"/>
            <w:left w:w="108" w:type="dxa"/>
            <w:bottom w:w="0" w:type="dxa"/>
            <w:right w:w="108" w:type="dxa"/>
          </w:tblCellMar>
        </w:tblPrEx>
        <w:trPr>
          <w:trHeight w:val="302" w:hRule="atLeast"/>
          <w:jc w:val="center"/>
        </w:trPr>
        <w:tc>
          <w:tcPr>
            <w:tcW w:w="1653" w:type="dxa"/>
            <w:vAlign w:val="center"/>
          </w:tcPr>
          <w:p w14:paraId="3FFD3E7E">
            <w:pPr>
              <w:spacing w:before="62" w:after="62"/>
              <w:ind w:firstLine="402"/>
              <w:rPr>
                <w:rFonts w:ascii="Times New Roman" w:hAnsi="Times New Roman"/>
                <w:b w:val="0"/>
                <w:bCs w:val="0"/>
                <w:sz w:val="20"/>
                <w:szCs w:val="20"/>
              </w:rPr>
            </w:pPr>
            <w:r>
              <w:rPr>
                <w:rFonts w:hint="eastAsia" w:ascii="Times New Roman" w:hAnsi="Times New Roman"/>
                <w:b/>
                <w:bCs/>
                <w:sz w:val="20"/>
                <w:szCs w:val="20"/>
              </w:rPr>
              <w:t>乌鳢</w:t>
            </w:r>
          </w:p>
        </w:tc>
        <w:tc>
          <w:tcPr>
            <w:tcW w:w="1653" w:type="dxa"/>
            <w:vAlign w:val="center"/>
          </w:tcPr>
          <w:p w14:paraId="71533745">
            <w:pPr>
              <w:spacing w:before="62" w:after="62"/>
              <w:ind w:firstLine="400"/>
              <w:rPr>
                <w:rFonts w:ascii="Times New Roman" w:hAnsi="Times New Roman"/>
                <w:sz w:val="20"/>
                <w:szCs w:val="20"/>
              </w:rPr>
            </w:pPr>
            <w:r>
              <w:rPr>
                <w:rFonts w:hint="eastAsia" w:ascii="Times New Roman" w:hAnsi="Times New Roman"/>
                <w:sz w:val="20"/>
                <w:szCs w:val="20"/>
              </w:rPr>
              <w:t>7</w:t>
            </w:r>
            <w:r>
              <w:rPr>
                <w:rFonts w:ascii="Times New Roman" w:hAnsi="Times New Roman"/>
                <w:sz w:val="20"/>
                <w:szCs w:val="20"/>
              </w:rPr>
              <w:t>2.36</w:t>
            </w:r>
          </w:p>
        </w:tc>
        <w:tc>
          <w:tcPr>
            <w:tcW w:w="1653" w:type="dxa"/>
            <w:vAlign w:val="center"/>
          </w:tcPr>
          <w:p w14:paraId="207C5305">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2.34</w:t>
            </w:r>
          </w:p>
        </w:tc>
        <w:tc>
          <w:tcPr>
            <w:tcW w:w="1653" w:type="dxa"/>
            <w:vAlign w:val="center"/>
          </w:tcPr>
          <w:p w14:paraId="5C89B185">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74.50</w:t>
            </w:r>
          </w:p>
        </w:tc>
        <w:tc>
          <w:tcPr>
            <w:tcW w:w="1657" w:type="dxa"/>
            <w:vAlign w:val="center"/>
          </w:tcPr>
          <w:p w14:paraId="296C18D4">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5.30</w:t>
            </w:r>
          </w:p>
        </w:tc>
      </w:tr>
      <w:tr w14:paraId="74555B11">
        <w:tblPrEx>
          <w:tblCellMar>
            <w:top w:w="0" w:type="dxa"/>
            <w:left w:w="108" w:type="dxa"/>
            <w:bottom w:w="0" w:type="dxa"/>
            <w:right w:w="108" w:type="dxa"/>
          </w:tblCellMar>
        </w:tblPrEx>
        <w:trPr>
          <w:trHeight w:val="302" w:hRule="atLeast"/>
          <w:jc w:val="center"/>
        </w:trPr>
        <w:tc>
          <w:tcPr>
            <w:tcW w:w="1653" w:type="dxa"/>
            <w:vAlign w:val="center"/>
          </w:tcPr>
          <w:p w14:paraId="53A1F5EC">
            <w:pPr>
              <w:spacing w:before="62" w:after="62"/>
              <w:ind w:firstLine="402"/>
              <w:rPr>
                <w:rFonts w:ascii="Times New Roman" w:hAnsi="Times New Roman"/>
                <w:b w:val="0"/>
                <w:bCs w:val="0"/>
                <w:sz w:val="20"/>
                <w:szCs w:val="20"/>
              </w:rPr>
            </w:pPr>
            <w:r>
              <w:rPr>
                <w:rFonts w:hint="eastAsia" w:ascii="Times New Roman" w:hAnsi="Times New Roman"/>
                <w:b/>
                <w:bCs/>
                <w:sz w:val="20"/>
                <w:szCs w:val="20"/>
              </w:rPr>
              <w:t>鳗鲡</w:t>
            </w:r>
          </w:p>
        </w:tc>
        <w:tc>
          <w:tcPr>
            <w:tcW w:w="1653" w:type="dxa"/>
            <w:vAlign w:val="center"/>
          </w:tcPr>
          <w:p w14:paraId="07643F52">
            <w:pPr>
              <w:spacing w:before="62" w:after="62"/>
              <w:ind w:firstLine="400"/>
              <w:rPr>
                <w:rFonts w:ascii="Times New Roman" w:hAnsi="Times New Roman"/>
                <w:sz w:val="20"/>
                <w:szCs w:val="20"/>
              </w:rPr>
            </w:pPr>
            <w:r>
              <w:rPr>
                <w:rFonts w:hint="eastAsia" w:ascii="Times New Roman" w:hAnsi="Times New Roman"/>
                <w:sz w:val="20"/>
                <w:szCs w:val="20"/>
              </w:rPr>
              <w:t>3</w:t>
            </w:r>
            <w:r>
              <w:rPr>
                <w:rFonts w:ascii="Times New Roman" w:hAnsi="Times New Roman"/>
                <w:sz w:val="20"/>
                <w:szCs w:val="20"/>
              </w:rPr>
              <w:t>3.14</w:t>
            </w:r>
          </w:p>
        </w:tc>
        <w:tc>
          <w:tcPr>
            <w:tcW w:w="1653" w:type="dxa"/>
            <w:vAlign w:val="center"/>
          </w:tcPr>
          <w:p w14:paraId="2BDDE570">
            <w:pPr>
              <w:spacing w:before="62" w:after="62"/>
              <w:ind w:firstLine="400"/>
              <w:rPr>
                <w:rFonts w:ascii="Times New Roman" w:hAnsi="Times New Roman"/>
                <w:sz w:val="20"/>
                <w:szCs w:val="20"/>
              </w:rPr>
            </w:pPr>
            <w:r>
              <w:rPr>
                <w:rFonts w:hint="eastAsia" w:ascii="Times New Roman" w:hAnsi="Times New Roman"/>
                <w:sz w:val="20"/>
                <w:szCs w:val="20"/>
              </w:rPr>
              <w:t>7</w:t>
            </w:r>
            <w:r>
              <w:rPr>
                <w:rFonts w:ascii="Times New Roman" w:hAnsi="Times New Roman"/>
                <w:sz w:val="20"/>
                <w:szCs w:val="20"/>
              </w:rPr>
              <w:t>.69</w:t>
            </w:r>
          </w:p>
        </w:tc>
        <w:tc>
          <w:tcPr>
            <w:tcW w:w="1653" w:type="dxa"/>
            <w:vAlign w:val="center"/>
          </w:tcPr>
          <w:p w14:paraId="7AB7B973">
            <w:pPr>
              <w:spacing w:before="62" w:after="62"/>
              <w:ind w:firstLine="400"/>
              <w:rPr>
                <w:rFonts w:ascii="Times New Roman" w:hAnsi="Times New Roman"/>
                <w:sz w:val="20"/>
                <w:szCs w:val="20"/>
              </w:rPr>
            </w:pPr>
            <w:r>
              <w:rPr>
                <w:rFonts w:hint="eastAsia" w:ascii="Times New Roman" w:hAnsi="Times New Roman"/>
                <w:sz w:val="20"/>
                <w:szCs w:val="20"/>
              </w:rPr>
              <w:t>1</w:t>
            </w:r>
            <w:r>
              <w:rPr>
                <w:rFonts w:ascii="Times New Roman" w:hAnsi="Times New Roman"/>
                <w:sz w:val="20"/>
                <w:szCs w:val="20"/>
              </w:rPr>
              <w:t>77.30</w:t>
            </w:r>
          </w:p>
        </w:tc>
        <w:tc>
          <w:tcPr>
            <w:tcW w:w="1657" w:type="dxa"/>
            <w:vAlign w:val="center"/>
          </w:tcPr>
          <w:p w14:paraId="755260B8">
            <w:pPr>
              <w:spacing w:before="62" w:after="62"/>
              <w:ind w:firstLine="400"/>
              <w:rPr>
                <w:rFonts w:ascii="Times New Roman" w:hAnsi="Times New Roman"/>
                <w:sz w:val="20"/>
                <w:szCs w:val="20"/>
              </w:rPr>
            </w:pPr>
            <w:r>
              <w:rPr>
                <w:rFonts w:hint="eastAsia" w:ascii="Times New Roman" w:hAnsi="Times New Roman"/>
                <w:sz w:val="20"/>
                <w:szCs w:val="20"/>
              </w:rPr>
              <w:t>4</w:t>
            </w:r>
            <w:r>
              <w:rPr>
                <w:rFonts w:ascii="Times New Roman" w:hAnsi="Times New Roman"/>
                <w:sz w:val="20"/>
                <w:szCs w:val="20"/>
              </w:rPr>
              <w:t>.44</w:t>
            </w:r>
          </w:p>
        </w:tc>
      </w:tr>
      <w:tr w14:paraId="1C84C10D">
        <w:tblPrEx>
          <w:tblCellMar>
            <w:top w:w="0" w:type="dxa"/>
            <w:left w:w="108" w:type="dxa"/>
            <w:bottom w:w="0" w:type="dxa"/>
            <w:right w:w="108" w:type="dxa"/>
          </w:tblCellMar>
        </w:tblPrEx>
        <w:trPr>
          <w:trHeight w:val="298" w:hRule="atLeast"/>
          <w:jc w:val="center"/>
        </w:trPr>
        <w:tc>
          <w:tcPr>
            <w:tcW w:w="1653" w:type="dxa"/>
            <w:vAlign w:val="center"/>
          </w:tcPr>
          <w:p w14:paraId="09938E7E">
            <w:pPr>
              <w:spacing w:before="62" w:after="62"/>
              <w:ind w:firstLine="402"/>
              <w:rPr>
                <w:rFonts w:ascii="Times New Roman" w:hAnsi="Times New Roman"/>
                <w:b w:val="0"/>
                <w:bCs w:val="0"/>
                <w:sz w:val="20"/>
                <w:szCs w:val="20"/>
              </w:rPr>
            </w:pPr>
            <w:r>
              <w:rPr>
                <w:rFonts w:hint="eastAsia" w:ascii="Times New Roman" w:hAnsi="Times New Roman"/>
                <w:b/>
                <w:bCs/>
                <w:sz w:val="20"/>
                <w:szCs w:val="20"/>
              </w:rPr>
              <w:t>龟</w:t>
            </w:r>
          </w:p>
        </w:tc>
        <w:tc>
          <w:tcPr>
            <w:tcW w:w="1653" w:type="dxa"/>
            <w:vAlign w:val="center"/>
          </w:tcPr>
          <w:p w14:paraId="7CCE403A">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2.91</w:t>
            </w:r>
          </w:p>
        </w:tc>
        <w:tc>
          <w:tcPr>
            <w:tcW w:w="1653" w:type="dxa"/>
            <w:vAlign w:val="center"/>
          </w:tcPr>
          <w:p w14:paraId="0F82E3B7">
            <w:pPr>
              <w:spacing w:before="62" w:after="62"/>
              <w:ind w:firstLine="400"/>
              <w:rPr>
                <w:rFonts w:ascii="Times New Roman" w:hAnsi="Times New Roman"/>
                <w:sz w:val="20"/>
                <w:szCs w:val="20"/>
              </w:rPr>
            </w:pPr>
            <w:r>
              <w:rPr>
                <w:rFonts w:hint="eastAsia" w:ascii="Times New Roman" w:hAnsi="Times New Roman"/>
                <w:sz w:val="20"/>
                <w:szCs w:val="20"/>
              </w:rPr>
              <w:t>3</w:t>
            </w:r>
            <w:r>
              <w:rPr>
                <w:rFonts w:ascii="Times New Roman" w:hAnsi="Times New Roman"/>
                <w:sz w:val="20"/>
                <w:szCs w:val="20"/>
              </w:rPr>
              <w:t>.59</w:t>
            </w:r>
          </w:p>
        </w:tc>
        <w:tc>
          <w:tcPr>
            <w:tcW w:w="1653" w:type="dxa"/>
            <w:vAlign w:val="center"/>
          </w:tcPr>
          <w:p w14:paraId="2B6693A9">
            <w:pPr>
              <w:spacing w:before="62" w:after="62"/>
              <w:ind w:firstLine="400"/>
              <w:rPr>
                <w:rFonts w:ascii="Times New Roman" w:hAnsi="Times New Roman"/>
                <w:sz w:val="20"/>
                <w:szCs w:val="20"/>
              </w:rPr>
            </w:pPr>
            <w:r>
              <w:rPr>
                <w:rFonts w:hint="eastAsia" w:ascii="Times New Roman" w:hAnsi="Times New Roman"/>
                <w:sz w:val="20"/>
                <w:szCs w:val="20"/>
              </w:rPr>
              <w:t>3</w:t>
            </w:r>
            <w:r>
              <w:rPr>
                <w:rFonts w:ascii="Times New Roman" w:hAnsi="Times New Roman"/>
                <w:sz w:val="20"/>
                <w:szCs w:val="20"/>
              </w:rPr>
              <w:t>9.47</w:t>
            </w:r>
          </w:p>
        </w:tc>
        <w:tc>
          <w:tcPr>
            <w:tcW w:w="1657" w:type="dxa"/>
            <w:vAlign w:val="center"/>
          </w:tcPr>
          <w:p w14:paraId="193B8C5E">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.76</w:t>
            </w:r>
          </w:p>
        </w:tc>
      </w:tr>
      <w:tr w14:paraId="429665B3">
        <w:tblPrEx>
          <w:tblCellMar>
            <w:top w:w="0" w:type="dxa"/>
            <w:left w:w="108" w:type="dxa"/>
            <w:bottom w:w="0" w:type="dxa"/>
            <w:right w:w="108" w:type="dxa"/>
          </w:tblCellMar>
        </w:tblPrEx>
        <w:trPr>
          <w:trHeight w:val="302" w:hRule="atLeast"/>
          <w:jc w:val="center"/>
        </w:trPr>
        <w:tc>
          <w:tcPr>
            <w:tcW w:w="1653" w:type="dxa"/>
            <w:tcBorders>
              <w:bottom w:val="single" w:color="auto" w:sz="4" w:space="0"/>
            </w:tcBorders>
            <w:vAlign w:val="center"/>
          </w:tcPr>
          <w:p w14:paraId="2BEECD77">
            <w:pPr>
              <w:spacing w:before="62" w:after="62"/>
              <w:ind w:firstLine="402"/>
              <w:rPr>
                <w:rFonts w:ascii="Times New Roman" w:hAnsi="Times New Roman"/>
                <w:b w:val="0"/>
                <w:bCs w:val="0"/>
                <w:sz w:val="20"/>
                <w:szCs w:val="20"/>
              </w:rPr>
            </w:pPr>
            <w:r>
              <w:rPr>
                <w:rFonts w:hint="eastAsia" w:ascii="Times New Roman" w:hAnsi="Times New Roman"/>
                <w:b/>
                <w:bCs/>
                <w:sz w:val="20"/>
                <w:szCs w:val="20"/>
              </w:rPr>
              <w:t>鳖</w:t>
            </w:r>
          </w:p>
        </w:tc>
        <w:tc>
          <w:tcPr>
            <w:tcW w:w="1653" w:type="dxa"/>
            <w:tcBorders>
              <w:bottom w:val="single" w:color="auto" w:sz="4" w:space="0"/>
            </w:tcBorders>
            <w:vAlign w:val="center"/>
          </w:tcPr>
          <w:p w14:paraId="034D1B7C">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3.01</w:t>
            </w:r>
          </w:p>
        </w:tc>
        <w:tc>
          <w:tcPr>
            <w:tcW w:w="1653" w:type="dxa"/>
            <w:tcBorders>
              <w:bottom w:val="single" w:color="auto" w:sz="4" w:space="0"/>
            </w:tcBorders>
            <w:vAlign w:val="center"/>
          </w:tcPr>
          <w:p w14:paraId="402421F0">
            <w:pPr>
              <w:spacing w:before="62" w:after="62"/>
              <w:ind w:firstLine="400"/>
              <w:rPr>
                <w:rFonts w:ascii="Times New Roman" w:hAnsi="Times New Roman"/>
                <w:sz w:val="20"/>
                <w:szCs w:val="20"/>
              </w:rPr>
            </w:pPr>
            <w:r>
              <w:rPr>
                <w:rFonts w:hint="eastAsia" w:ascii="Times New Roman" w:hAnsi="Times New Roman"/>
                <w:sz w:val="20"/>
                <w:szCs w:val="20"/>
              </w:rPr>
              <w:t>3</w:t>
            </w:r>
            <w:r>
              <w:rPr>
                <w:rFonts w:ascii="Times New Roman" w:hAnsi="Times New Roman"/>
                <w:sz w:val="20"/>
                <w:szCs w:val="20"/>
              </w:rPr>
              <w:t>.517</w:t>
            </w:r>
          </w:p>
        </w:tc>
        <w:tc>
          <w:tcPr>
            <w:tcW w:w="1653" w:type="dxa"/>
            <w:tcBorders>
              <w:bottom w:val="single" w:color="auto" w:sz="4" w:space="0"/>
            </w:tcBorders>
            <w:vAlign w:val="center"/>
          </w:tcPr>
          <w:p w14:paraId="4536CF61">
            <w:pPr>
              <w:spacing w:before="62" w:after="62"/>
              <w:ind w:firstLine="400"/>
              <w:rPr>
                <w:rFonts w:ascii="Times New Roman" w:hAnsi="Times New Roman"/>
                <w:sz w:val="20"/>
                <w:szCs w:val="20"/>
              </w:rPr>
            </w:pPr>
            <w:r>
              <w:rPr>
                <w:rFonts w:hint="eastAsia" w:ascii="Times New Roman" w:hAnsi="Times New Roman"/>
                <w:sz w:val="20"/>
                <w:szCs w:val="20"/>
              </w:rPr>
              <w:t>3</w:t>
            </w:r>
            <w:r>
              <w:rPr>
                <w:rFonts w:ascii="Times New Roman" w:hAnsi="Times New Roman"/>
                <w:sz w:val="20"/>
                <w:szCs w:val="20"/>
              </w:rPr>
              <w:t>9.42</w:t>
            </w:r>
          </w:p>
        </w:tc>
        <w:tc>
          <w:tcPr>
            <w:tcW w:w="1657" w:type="dxa"/>
            <w:tcBorders>
              <w:bottom w:val="single" w:color="auto" w:sz="4" w:space="0"/>
            </w:tcBorders>
            <w:vAlign w:val="center"/>
          </w:tcPr>
          <w:p w14:paraId="62BE88E3">
            <w:pPr>
              <w:spacing w:before="62" w:after="62"/>
              <w:ind w:firstLine="400"/>
              <w:rPr>
                <w:rFonts w:ascii="Times New Roman" w:hAnsi="Times New Roman"/>
                <w:sz w:val="20"/>
                <w:szCs w:val="20"/>
              </w:rPr>
            </w:pPr>
            <w:r>
              <w:rPr>
                <w:rFonts w:hint="eastAsia" w:ascii="Times New Roman" w:hAnsi="Times New Roman"/>
                <w:sz w:val="20"/>
                <w:szCs w:val="20"/>
              </w:rPr>
              <w:t>2</w:t>
            </w:r>
            <w:r>
              <w:rPr>
                <w:rFonts w:ascii="Times New Roman" w:hAnsi="Times New Roman"/>
                <w:sz w:val="20"/>
                <w:szCs w:val="20"/>
              </w:rPr>
              <w:t>.76</w:t>
            </w:r>
          </w:p>
        </w:tc>
      </w:tr>
    </w:tbl>
    <w:p w14:paraId="1EC859D3">
      <w:pPr>
        <w:shd w:val="clear" w:color="auto" w:fill="auto"/>
        <w:autoSpaceDE/>
        <w:autoSpaceDN/>
        <w:rPr>
          <w:rFonts w:ascii="Times New Roman" w:hAnsi="Times New Roman" w:cs="Times New Roman"/>
          <w:kern w:val="2"/>
        </w:rPr>
      </w:pPr>
      <w:r>
        <w:rPr>
          <w:rFonts w:hint="eastAsia" w:ascii="Times New Roman" w:hAnsi="Times New Roman" w:cs="Times New Roman"/>
          <w:kern w:val="2"/>
        </w:rPr>
        <w:t>水产养殖尾水处理技术模式.</w:t>
      </w:r>
      <w:r>
        <w:rPr>
          <w:rFonts w:ascii="Times New Roman" w:hAnsi="Times New Roman" w:cs="Times New Roman"/>
          <w:kern w:val="2"/>
        </w:rPr>
        <w:t xml:space="preserve"> </w:t>
      </w:r>
      <w:r>
        <w:rPr>
          <w:rFonts w:hint="eastAsia" w:ascii="Times New Roman" w:hAnsi="Times New Roman" w:cs="Times New Roman"/>
          <w:kern w:val="2"/>
        </w:rPr>
        <w:t>全国水产技术推广总站组编,</w:t>
      </w:r>
      <w:r>
        <w:rPr>
          <w:rFonts w:ascii="Times New Roman" w:hAnsi="Times New Roman" w:cs="Times New Roman"/>
          <w:kern w:val="2"/>
        </w:rPr>
        <w:t xml:space="preserve"> </w:t>
      </w:r>
      <w:r>
        <w:rPr>
          <w:rFonts w:hint="eastAsia" w:ascii="Times New Roman" w:hAnsi="Times New Roman" w:cs="Times New Roman"/>
          <w:kern w:val="2"/>
        </w:rPr>
        <w:t>中国农业出版社.</w:t>
      </w:r>
      <w:r>
        <w:rPr>
          <w:rFonts w:ascii="Times New Roman" w:hAnsi="Times New Roman" w:cs="Times New Roman"/>
          <w:kern w:val="2"/>
        </w:rPr>
        <w:t xml:space="preserve"> 2022, p4-6.</w:t>
      </w:r>
    </w:p>
    <w:p w14:paraId="072AA64F">
      <w:pPr>
        <w:shd w:val="clear" w:color="auto" w:fill="auto"/>
        <w:autoSpaceDE/>
        <w:autoSpaceDN/>
        <w:rPr>
          <w:rFonts w:ascii="Times New Roman" w:hAnsi="Times New Roman" w:cs="Times New Roman"/>
          <w:kern w:val="2"/>
        </w:rPr>
      </w:pPr>
      <w:r>
        <w:rPr>
          <w:rFonts w:hint="eastAsia" w:ascii="Times New Roman" w:hAnsi="Times New Roman" w:cs="Times New Roman"/>
          <w:kern w:val="2"/>
        </w:rPr>
        <w:t>陈全，曾慧.</w:t>
      </w:r>
      <w:r>
        <w:rPr>
          <w:rFonts w:ascii="Times New Roman" w:hAnsi="Times New Roman" w:cs="Times New Roman"/>
          <w:kern w:val="2"/>
        </w:rPr>
        <w:t>关于广东省池塘养殖尾水治理模式的实践与探讨</w:t>
      </w:r>
      <w:r>
        <w:rPr>
          <w:rFonts w:hint="eastAsia" w:ascii="Times New Roman" w:hAnsi="Times New Roman" w:cs="Times New Roman"/>
          <w:kern w:val="2"/>
        </w:rPr>
        <w:t>.工程技术研究.</w:t>
      </w:r>
      <w:r>
        <w:rPr>
          <w:rFonts w:ascii="Times New Roman" w:hAnsi="Times New Roman" w:cs="Times New Roman"/>
          <w:kern w:val="2"/>
        </w:rPr>
        <w:t>2024</w:t>
      </w:r>
      <w:r>
        <w:rPr>
          <w:rFonts w:hint="eastAsia" w:ascii="Times New Roman" w:hAnsi="Times New Roman" w:cs="Times New Roman"/>
          <w:kern w:val="2"/>
        </w:rPr>
        <w:t>.</w:t>
      </w:r>
    </w:p>
    <w:p w14:paraId="0A3AD016">
      <w:pPr>
        <w:shd w:val="clear" w:color="auto" w:fill="auto"/>
        <w:autoSpaceDE/>
        <w:autoSpaceDN/>
        <w:ind w:firstLine="482"/>
        <w:rPr>
          <w:rFonts w:ascii="Times New Roman" w:hAnsi="Times New Roman" w:cs="Times New Roman"/>
          <w:b/>
          <w:bCs/>
          <w:kern w:val="2"/>
        </w:rPr>
      </w:pPr>
      <w:bookmarkStart w:id="57" w:name="_Hlk169010174"/>
      <w:r>
        <w:rPr>
          <w:rFonts w:hint="eastAsia" w:ascii="Times New Roman" w:hAnsi="Times New Roman" w:cs="Times New Roman"/>
          <w:b/>
          <w:bCs/>
          <w:kern w:val="2"/>
        </w:rPr>
        <w:t>（3）</w:t>
      </w:r>
      <w:r>
        <w:rPr>
          <w:rFonts w:ascii="Times New Roman" w:hAnsi="Times New Roman" w:cs="Times New Roman"/>
          <w:b/>
          <w:bCs/>
          <w:kern w:val="2"/>
        </w:rPr>
        <w:t>生态截滤坝</w:t>
      </w:r>
    </w:p>
    <w:p w14:paraId="0D4D95FD">
      <w:pPr>
        <w:shd w:val="clear" w:color="auto" w:fill="auto"/>
        <w:autoSpaceDE/>
        <w:autoSpaceDN/>
        <w:rPr>
          <w:rFonts w:ascii="Times New Roman" w:hAnsi="Times New Roman" w:cs="Times New Roman"/>
          <w:kern w:val="2"/>
        </w:rPr>
      </w:pPr>
      <w:r>
        <w:rPr>
          <w:rFonts w:hint="eastAsia" w:ascii="Times New Roman" w:hAnsi="Times New Roman" w:cs="Times New Roman"/>
          <w:kern w:val="2"/>
        </w:rPr>
        <w:t>1.1坝长等于沟渠或河道宽，坝宽</w:t>
      </w:r>
      <w:r>
        <w:rPr>
          <w:rFonts w:ascii="Times New Roman" w:hAnsi="Times New Roman" w:cs="Times New Roman"/>
          <w:kern w:val="2"/>
        </w:rPr>
        <w:t>1</w:t>
      </w:r>
      <w:r>
        <w:rPr>
          <w:rFonts w:hint="eastAsia" w:ascii="Times New Roman" w:hAnsi="Times New Roman" w:cs="Times New Roman"/>
          <w:kern w:val="2"/>
        </w:rPr>
        <w:t xml:space="preserve"> </w:t>
      </w:r>
      <w:r>
        <w:rPr>
          <w:rFonts w:ascii="Times New Roman" w:hAnsi="Times New Roman" w:cs="Times New Roman"/>
          <w:kern w:val="2"/>
        </w:rPr>
        <w:t>m-3</w:t>
      </w:r>
      <w:r>
        <w:rPr>
          <w:rFonts w:hint="eastAsia" w:ascii="Times New Roman" w:hAnsi="Times New Roman" w:cs="Times New Roman"/>
          <w:kern w:val="2"/>
        </w:rPr>
        <w:t xml:space="preserve"> </w:t>
      </w:r>
      <w:r>
        <w:rPr>
          <w:rFonts w:ascii="Times New Roman" w:hAnsi="Times New Roman" w:cs="Times New Roman"/>
          <w:kern w:val="2"/>
        </w:rPr>
        <w:t>m，</w:t>
      </w:r>
      <w:bookmarkStart w:id="58" w:name="_Hlk170226094"/>
      <w:r>
        <w:rPr>
          <w:rFonts w:ascii="Times New Roman" w:hAnsi="Times New Roman" w:cs="Times New Roman"/>
          <w:kern w:val="2"/>
        </w:rPr>
        <w:t>坝高以超过设计最高水位20</w:t>
      </w:r>
      <w:r>
        <w:rPr>
          <w:rFonts w:hint="eastAsia" w:ascii="Times New Roman" w:hAnsi="Times New Roman" w:cs="Times New Roman"/>
          <w:kern w:val="2"/>
        </w:rPr>
        <w:t xml:space="preserve"> </w:t>
      </w:r>
      <w:r>
        <w:rPr>
          <w:rFonts w:ascii="Times New Roman" w:hAnsi="Times New Roman" w:cs="Times New Roman"/>
          <w:kern w:val="2"/>
        </w:rPr>
        <w:t>cm为宜</w:t>
      </w:r>
      <w:bookmarkEnd w:id="58"/>
      <w:r>
        <w:rPr>
          <w:rFonts w:hint="eastAsia" w:ascii="Times New Roman" w:hAnsi="Times New Roman" w:cs="Times New Roman"/>
          <w:kern w:val="2"/>
        </w:rPr>
        <w:t>；</w:t>
      </w:r>
    </w:p>
    <w:p w14:paraId="747FD503">
      <w:pPr>
        <w:shd w:val="clear" w:color="auto" w:fill="auto"/>
        <w:autoSpaceDE/>
        <w:autoSpaceDN/>
        <w:rPr>
          <w:rFonts w:ascii="Times New Roman" w:hAnsi="Times New Roman" w:cs="Times New Roman"/>
          <w:kern w:val="2"/>
        </w:rPr>
      </w:pPr>
      <w:r>
        <w:rPr>
          <w:rFonts w:ascii="Times New Roman" w:hAnsi="Times New Roman" w:cs="Times New Roman"/>
          <w:kern w:val="2"/>
        </w:rPr>
        <w:t>1.</w:t>
      </w:r>
      <w:r>
        <w:rPr>
          <w:rFonts w:hint="eastAsia" w:ascii="Times New Roman" w:hAnsi="Times New Roman" w:cs="Times New Roman"/>
          <w:kern w:val="2"/>
        </w:rPr>
        <w:t>2两侧墙体用多孔砖砌筑或用钢结构作为框架，坝体填充火山岩、沙砾、陶粒等大颗粒滤料，滤料用网袋或网箱装填；</w:t>
      </w:r>
    </w:p>
    <w:p w14:paraId="671BC694">
      <w:pPr>
        <w:shd w:val="clear" w:color="auto" w:fill="auto"/>
        <w:autoSpaceDE/>
        <w:autoSpaceDN/>
        <w:rPr>
          <w:rFonts w:ascii="Times New Roman" w:hAnsi="Times New Roman" w:cs="Times New Roman"/>
          <w:kern w:val="2"/>
        </w:rPr>
      </w:pPr>
      <w:r>
        <w:rPr>
          <w:rFonts w:hint="eastAsia" w:ascii="Times New Roman" w:hAnsi="Times New Roman" w:cs="Times New Roman"/>
          <w:kern w:val="2"/>
        </w:rPr>
        <w:t>1.3坝体上部用帆布覆盖，坝前设置钢丝网片拦截。尾水治理区一般设置2道生态截滤坝。</w:t>
      </w:r>
    </w:p>
    <w:p w14:paraId="2F9E0A96">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ascii="Times New Roman" w:hAnsi="Times New Roman" w:cs="Times New Roman"/>
          <w:kern w:val="2"/>
        </w:rPr>
        <w:t>生态截滤坝</w:t>
      </w:r>
      <w:r>
        <w:rPr>
          <w:rFonts w:hint="eastAsia" w:ascii="Times New Roman" w:hAnsi="Times New Roman" w:cs="Times New Roman"/>
          <w:kern w:val="2"/>
        </w:rPr>
        <w:t>的功能与过滤坝一样，起到过滤拦截和生物反应的作用，根据浙江省地方标准</w:t>
      </w:r>
      <w:r>
        <w:rPr>
          <w:rFonts w:ascii="Times New Roman" w:hAnsi="Times New Roman" w:cs="Times New Roman"/>
          <w:kern w:val="2"/>
        </w:rPr>
        <w:t>DB33/T 2288-2020《淡水池塘养殖尾水处理技术规范》中的“过滤坝”定义，即“由多孔砖砌成，内部填充滤料，具有过滤拦截、生物降解、转化及吸收的构筑物</w:t>
      </w:r>
      <w:r>
        <w:rPr>
          <w:rFonts w:hint="eastAsia" w:ascii="Times New Roman" w:hAnsi="Times New Roman" w:cs="Times New Roman"/>
          <w:kern w:val="2"/>
        </w:rPr>
        <w:t>，另外参考《湖州市水产养殖尾水治理实施方案》中过滤坝的</w:t>
      </w:r>
      <w:r>
        <w:rPr>
          <w:rFonts w:ascii="Times New Roman" w:hAnsi="Times New Roman" w:cs="Times New Roman"/>
          <w:kern w:val="2"/>
        </w:rPr>
        <w:t>内部填充</w:t>
      </w:r>
      <w:r>
        <w:rPr>
          <w:rFonts w:hint="eastAsia" w:ascii="Times New Roman" w:hAnsi="Times New Roman" w:cs="Times New Roman"/>
          <w:kern w:val="2"/>
        </w:rPr>
        <w:t>为</w:t>
      </w:r>
      <w:r>
        <w:rPr>
          <w:rFonts w:ascii="Times New Roman" w:hAnsi="Times New Roman" w:cs="Times New Roman"/>
          <w:kern w:val="2"/>
        </w:rPr>
        <w:t>陶瓷珠或火山石等多孔吸附介质</w:t>
      </w:r>
      <w:r>
        <w:rPr>
          <w:rFonts w:hint="eastAsia" w:ascii="Times New Roman" w:hAnsi="Times New Roman" w:cs="Times New Roman"/>
          <w:kern w:val="2"/>
        </w:rPr>
        <w:t>，本章节将生态截滤坝定义为两侧墙体用多孔砖砌筑或用钢结构作为框架，坝体填充火山岩、沙砾、陶粒等大颗粒滤料，滤料用网袋或网箱装填，便于清洗。刘梅（2021）中指出不同养殖品种，</w:t>
      </w:r>
      <w:r>
        <w:rPr>
          <w:rFonts w:ascii="Times New Roman" w:hAnsi="Times New Roman" w:cs="Times New Roman"/>
          <w:kern w:val="2"/>
        </w:rPr>
        <w:t>过滤坝建设要求存在较大差异</w:t>
      </w:r>
      <w:r>
        <w:rPr>
          <w:rFonts w:hint="eastAsia" w:ascii="Times New Roman" w:hAnsi="Times New Roman" w:cs="Times New Roman"/>
          <w:kern w:val="2"/>
        </w:rPr>
        <w:t>，</w:t>
      </w:r>
      <w:r>
        <w:rPr>
          <w:rFonts w:ascii="Times New Roman" w:hAnsi="Times New Roman" w:cs="Times New Roman"/>
          <w:kern w:val="2"/>
        </w:rPr>
        <w:t>其中</w:t>
      </w:r>
      <w:r>
        <w:rPr>
          <w:rFonts w:hint="eastAsia" w:ascii="Times New Roman" w:hAnsi="Times New Roman" w:cs="Times New Roman"/>
          <w:kern w:val="2"/>
        </w:rPr>
        <w:t>，</w:t>
      </w:r>
      <w:r>
        <w:rPr>
          <w:rFonts w:ascii="Times New Roman" w:hAnsi="Times New Roman" w:cs="Times New Roman"/>
          <w:kern w:val="2"/>
        </w:rPr>
        <w:t>低污染品种过滤坝内径宽不低于1.5</w:t>
      </w:r>
      <w:r>
        <w:rPr>
          <w:rFonts w:hint="eastAsia" w:ascii="Times New Roman" w:hAnsi="Times New Roman" w:cs="Times New Roman"/>
          <w:kern w:val="2"/>
        </w:rPr>
        <w:t xml:space="preserve"> </w:t>
      </w:r>
      <w:r>
        <w:rPr>
          <w:rFonts w:ascii="Times New Roman" w:hAnsi="Times New Roman" w:cs="Times New Roman"/>
          <w:kern w:val="2"/>
        </w:rPr>
        <w:t>m</w:t>
      </w:r>
      <w:r>
        <w:rPr>
          <w:rFonts w:hint="eastAsia" w:ascii="Times New Roman" w:hAnsi="Times New Roman" w:cs="Times New Roman"/>
          <w:kern w:val="2"/>
        </w:rPr>
        <w:t>，</w:t>
      </w:r>
      <w:r>
        <w:rPr>
          <w:rFonts w:ascii="Times New Roman" w:hAnsi="Times New Roman" w:cs="Times New Roman"/>
          <w:kern w:val="2"/>
        </w:rPr>
        <w:t>长度不低于8.0</w:t>
      </w:r>
      <w:r>
        <w:rPr>
          <w:rFonts w:hint="eastAsia" w:ascii="Times New Roman" w:hAnsi="Times New Roman" w:cs="Times New Roman"/>
          <w:kern w:val="2"/>
        </w:rPr>
        <w:t xml:space="preserve"> </w:t>
      </w:r>
      <w:r>
        <w:rPr>
          <w:rFonts w:ascii="Times New Roman" w:hAnsi="Times New Roman" w:cs="Times New Roman"/>
          <w:kern w:val="2"/>
        </w:rPr>
        <w:t>m</w:t>
      </w:r>
      <w:r>
        <w:rPr>
          <w:rFonts w:hint="eastAsia" w:ascii="Times New Roman" w:hAnsi="Times New Roman" w:cs="Times New Roman"/>
          <w:kern w:val="2"/>
        </w:rPr>
        <w:t>，</w:t>
      </w:r>
      <w:r>
        <w:rPr>
          <w:rFonts w:ascii="Times New Roman" w:hAnsi="Times New Roman" w:cs="Times New Roman"/>
          <w:kern w:val="2"/>
        </w:rPr>
        <w:t>过滤坝建议建1条及以上</w:t>
      </w:r>
      <w:r>
        <w:rPr>
          <w:rFonts w:hint="eastAsia" w:ascii="Times New Roman" w:hAnsi="Times New Roman" w:cs="Times New Roman"/>
          <w:kern w:val="2"/>
        </w:rPr>
        <w:t>；</w:t>
      </w:r>
      <w:r>
        <w:rPr>
          <w:rFonts w:ascii="Times New Roman" w:hAnsi="Times New Roman" w:cs="Times New Roman"/>
          <w:kern w:val="2"/>
        </w:rPr>
        <w:t>中污染品种过滤坝内径宽不低于2.0</w:t>
      </w:r>
      <w:r>
        <w:rPr>
          <w:rFonts w:hint="eastAsia" w:ascii="Times New Roman" w:hAnsi="Times New Roman" w:cs="Times New Roman"/>
          <w:kern w:val="2"/>
        </w:rPr>
        <w:t xml:space="preserve"> </w:t>
      </w:r>
      <w:r>
        <w:rPr>
          <w:rFonts w:ascii="Times New Roman" w:hAnsi="Times New Roman" w:cs="Times New Roman"/>
          <w:kern w:val="2"/>
        </w:rPr>
        <w:t>m</w:t>
      </w:r>
      <w:r>
        <w:rPr>
          <w:rFonts w:hint="eastAsia" w:ascii="Times New Roman" w:hAnsi="Times New Roman" w:cs="Times New Roman"/>
          <w:kern w:val="2"/>
        </w:rPr>
        <w:t>，</w:t>
      </w:r>
      <w:r>
        <w:rPr>
          <w:rFonts w:ascii="Times New Roman" w:hAnsi="Times New Roman" w:cs="Times New Roman"/>
          <w:kern w:val="2"/>
        </w:rPr>
        <w:t>长度不低于8.0</w:t>
      </w:r>
      <w:r>
        <w:rPr>
          <w:rFonts w:hint="eastAsia" w:ascii="Times New Roman" w:hAnsi="Times New Roman" w:cs="Times New Roman"/>
          <w:kern w:val="2"/>
        </w:rPr>
        <w:t xml:space="preserve"> </w:t>
      </w:r>
      <w:r>
        <w:rPr>
          <w:rFonts w:ascii="Times New Roman" w:hAnsi="Times New Roman" w:cs="Times New Roman"/>
          <w:kern w:val="2"/>
        </w:rPr>
        <w:t>m</w:t>
      </w:r>
      <w:r>
        <w:rPr>
          <w:rFonts w:hint="eastAsia" w:ascii="Times New Roman" w:hAnsi="Times New Roman" w:cs="Times New Roman"/>
          <w:kern w:val="2"/>
        </w:rPr>
        <w:t>，</w:t>
      </w:r>
      <w:r>
        <w:rPr>
          <w:rFonts w:ascii="Times New Roman" w:hAnsi="Times New Roman" w:cs="Times New Roman"/>
          <w:kern w:val="2"/>
        </w:rPr>
        <w:t>过滤坝建议建2条</w:t>
      </w:r>
      <w:r>
        <w:rPr>
          <w:rFonts w:hint="eastAsia" w:ascii="Times New Roman" w:hAnsi="Times New Roman" w:cs="Times New Roman"/>
          <w:kern w:val="2"/>
        </w:rPr>
        <w:t>；</w:t>
      </w:r>
      <w:r>
        <w:rPr>
          <w:rFonts w:ascii="Times New Roman" w:hAnsi="Times New Roman" w:cs="Times New Roman"/>
          <w:kern w:val="2"/>
        </w:rPr>
        <w:t>高污染品种过滤坝内径宽不低于2.0</w:t>
      </w:r>
      <w:r>
        <w:rPr>
          <w:rFonts w:hint="eastAsia" w:ascii="Times New Roman" w:hAnsi="Times New Roman" w:cs="Times New Roman"/>
          <w:kern w:val="2"/>
        </w:rPr>
        <w:t xml:space="preserve"> </w:t>
      </w:r>
      <w:r>
        <w:rPr>
          <w:rFonts w:ascii="Times New Roman" w:hAnsi="Times New Roman" w:cs="Times New Roman"/>
          <w:kern w:val="2"/>
        </w:rPr>
        <w:t>m，长度不低于10</w:t>
      </w:r>
      <w:r>
        <w:rPr>
          <w:rFonts w:hint="eastAsia" w:ascii="Times New Roman" w:hAnsi="Times New Roman" w:cs="Times New Roman"/>
          <w:kern w:val="2"/>
        </w:rPr>
        <w:t xml:space="preserve">.0 </w:t>
      </w:r>
      <w:r>
        <w:rPr>
          <w:rFonts w:ascii="Times New Roman" w:hAnsi="Times New Roman" w:cs="Times New Roman"/>
          <w:kern w:val="2"/>
        </w:rPr>
        <w:t>m</w:t>
      </w:r>
      <w:r>
        <w:rPr>
          <w:rFonts w:hint="eastAsia" w:ascii="Times New Roman" w:hAnsi="Times New Roman" w:cs="Times New Roman"/>
          <w:kern w:val="2"/>
        </w:rPr>
        <w:t>，</w:t>
      </w:r>
      <w:r>
        <w:rPr>
          <w:rFonts w:ascii="Times New Roman" w:hAnsi="Times New Roman" w:cs="Times New Roman"/>
          <w:kern w:val="2"/>
        </w:rPr>
        <w:t>过滤坝建议建2条。</w:t>
      </w:r>
      <w:r>
        <w:rPr>
          <w:rFonts w:hint="eastAsia" w:ascii="Times New Roman" w:hAnsi="Times New Roman" w:cs="Times New Roman"/>
          <w:kern w:val="2"/>
        </w:rPr>
        <w:t>因此本文件中生态截滤坝</w:t>
      </w:r>
      <w:r>
        <w:rPr>
          <w:rFonts w:ascii="Times New Roman" w:hAnsi="Times New Roman" w:cs="Times New Roman"/>
          <w:kern w:val="2"/>
        </w:rPr>
        <w:t>坝宽</w:t>
      </w:r>
      <w:r>
        <w:rPr>
          <w:rFonts w:hint="eastAsia" w:ascii="Times New Roman" w:hAnsi="Times New Roman" w:cs="Times New Roman"/>
          <w:kern w:val="2"/>
        </w:rPr>
        <w:t>设置为</w:t>
      </w:r>
      <w:r>
        <w:rPr>
          <w:rFonts w:ascii="Times New Roman" w:hAnsi="Times New Roman" w:cs="Times New Roman"/>
          <w:kern w:val="2"/>
        </w:rPr>
        <w:t>1</w:t>
      </w:r>
      <w:r>
        <w:rPr>
          <w:rFonts w:hint="eastAsia" w:ascii="Times New Roman" w:hAnsi="Times New Roman" w:cs="Times New Roman"/>
          <w:kern w:val="2"/>
        </w:rPr>
        <w:t xml:space="preserve">.0 </w:t>
      </w:r>
      <w:r>
        <w:rPr>
          <w:rFonts w:ascii="Times New Roman" w:hAnsi="Times New Roman" w:cs="Times New Roman"/>
          <w:kern w:val="2"/>
        </w:rPr>
        <w:t>m-3</w:t>
      </w:r>
      <w:r>
        <w:rPr>
          <w:rFonts w:hint="eastAsia" w:ascii="Times New Roman" w:hAnsi="Times New Roman" w:cs="Times New Roman"/>
          <w:kern w:val="2"/>
        </w:rPr>
        <w:t xml:space="preserve">.0 </w:t>
      </w:r>
      <w:r>
        <w:rPr>
          <w:rFonts w:ascii="Times New Roman" w:hAnsi="Times New Roman" w:cs="Times New Roman"/>
          <w:kern w:val="2"/>
        </w:rPr>
        <w:t>m</w:t>
      </w:r>
      <w:r>
        <w:rPr>
          <w:rFonts w:hint="eastAsia" w:ascii="Times New Roman" w:hAnsi="Times New Roman" w:cs="Times New Roman"/>
          <w:kern w:val="2"/>
        </w:rPr>
        <w:t>，尾水治理区设置</w:t>
      </w:r>
      <w:r>
        <w:rPr>
          <w:rFonts w:ascii="Times New Roman" w:hAnsi="Times New Roman" w:cs="Times New Roman"/>
          <w:kern w:val="2"/>
        </w:rPr>
        <w:t>2道生态截滤坝。</w:t>
      </w:r>
      <w:r>
        <w:rPr>
          <w:rFonts w:hint="eastAsia" w:ascii="Times New Roman" w:hAnsi="Times New Roman" w:cs="Times New Roman"/>
          <w:kern w:val="2"/>
        </w:rPr>
        <w:t>参考江苏省地方标准</w:t>
      </w:r>
      <w:r>
        <w:rPr>
          <w:rFonts w:ascii="Times New Roman" w:hAnsi="Times New Roman" w:cs="Times New Roman"/>
          <w:kern w:val="2"/>
        </w:rPr>
        <w:t>DB32/T 4725-2024</w:t>
      </w:r>
      <w:r>
        <w:rPr>
          <w:rFonts w:hint="eastAsia" w:ascii="Times New Roman" w:hAnsi="Times New Roman" w:cs="Times New Roman"/>
          <w:kern w:val="2"/>
        </w:rPr>
        <w:t>《池塘养殖尾水生态处理技术规范》“过滤坝坝高出设计水位0.2 m-0.3 m。”，坝高本规范设置为以超过设计最高水位</w:t>
      </w:r>
      <w:r>
        <w:rPr>
          <w:rFonts w:ascii="Times New Roman" w:hAnsi="Times New Roman" w:cs="Times New Roman"/>
          <w:kern w:val="2"/>
        </w:rPr>
        <w:t>20</w:t>
      </w:r>
      <w:r>
        <w:rPr>
          <w:rFonts w:hint="eastAsia" w:ascii="Times New Roman" w:hAnsi="Times New Roman" w:cs="Times New Roman"/>
          <w:kern w:val="2"/>
        </w:rPr>
        <w:t xml:space="preserve"> </w:t>
      </w:r>
      <w:r>
        <w:rPr>
          <w:rFonts w:ascii="Times New Roman" w:hAnsi="Times New Roman" w:cs="Times New Roman"/>
          <w:kern w:val="2"/>
        </w:rPr>
        <w:t>cm为宜</w:t>
      </w:r>
      <w:r>
        <w:rPr>
          <w:rFonts w:hint="eastAsia" w:ascii="Times New Roman" w:hAnsi="Times New Roman" w:cs="Times New Roman"/>
          <w:kern w:val="2"/>
        </w:rPr>
        <w:t>。</w:t>
      </w:r>
    </w:p>
    <w:bookmarkEnd w:id="57"/>
    <w:p w14:paraId="5D08E8C5">
      <w:pPr>
        <w:shd w:val="clear" w:color="auto" w:fill="auto"/>
        <w:autoSpaceDE/>
        <w:autoSpaceDN/>
        <w:rPr>
          <w:rFonts w:ascii="Times New Roman" w:hAnsi="Times New Roman" w:cs="Times New Roman"/>
          <w:kern w:val="2"/>
        </w:rPr>
      </w:pPr>
      <w:r>
        <w:rPr>
          <w:rFonts w:ascii="Times New Roman" w:hAnsi="Times New Roman" w:cs="Times New Roman"/>
          <w:kern w:val="2"/>
        </w:rPr>
        <w:t>刘梅，原居林，倪蒙等. “三池两坝”多级组合工艺对内陆池塘养殖尾水的处理[J]. 环境工程技术学报，2021, 11(01): 97-106.</w:t>
      </w:r>
    </w:p>
    <w:p w14:paraId="39D6A3F6">
      <w:pPr>
        <w:shd w:val="clear" w:color="auto" w:fill="auto"/>
        <w:autoSpaceDE/>
        <w:autoSpaceDN/>
        <w:ind w:firstLine="482"/>
        <w:rPr>
          <w:rFonts w:ascii="Times New Roman" w:hAnsi="Times New Roman" w:cs="Times New Roman"/>
          <w:b/>
          <w:bCs/>
          <w:kern w:val="2"/>
        </w:rPr>
      </w:pPr>
      <w:r>
        <w:rPr>
          <w:rFonts w:hint="eastAsia" w:ascii="Times New Roman" w:hAnsi="Times New Roman" w:cs="Times New Roman"/>
          <w:b/>
          <w:bCs/>
          <w:kern w:val="2"/>
        </w:rPr>
        <w:t>（4）</w:t>
      </w:r>
      <w:r>
        <w:rPr>
          <w:rFonts w:ascii="Times New Roman" w:hAnsi="Times New Roman" w:cs="Times New Roman"/>
          <w:b/>
          <w:bCs/>
          <w:kern w:val="2"/>
        </w:rPr>
        <w:t>生物仓</w:t>
      </w:r>
    </w:p>
    <w:p w14:paraId="7A5CD866">
      <w:pPr>
        <w:shd w:val="clear" w:color="auto" w:fill="auto"/>
        <w:autoSpaceDE/>
        <w:autoSpaceDN/>
        <w:rPr>
          <w:rFonts w:ascii="Times New Roman" w:hAnsi="Times New Roman" w:cs="Times New Roman"/>
          <w:kern w:val="2"/>
        </w:rPr>
      </w:pPr>
      <w:r>
        <w:rPr>
          <w:rFonts w:hint="eastAsia" w:ascii="Times New Roman" w:hAnsi="Times New Roman" w:cs="Times New Roman"/>
          <w:kern w:val="2"/>
        </w:rPr>
        <w:t>1.1将聚氨酯海绵改性后制成的海绵多孔状填料和火山岩填料以一定的配比装填在网袋内，利用改性聚氨酯棉及火山岩孔隙率高、耐磨性好、亲水性好等特点，可过滤悬浮物和大颗粒物质，也能为微生物生长提供空间。</w:t>
      </w:r>
    </w:p>
    <w:p w14:paraId="56E6BE8F">
      <w:pPr>
        <w:shd w:val="clear" w:color="auto" w:fill="auto"/>
        <w:autoSpaceDE/>
        <w:autoSpaceDN/>
        <w:rPr>
          <w:rFonts w:ascii="Times New Roman" w:hAnsi="Times New Roman" w:cs="Times New Roman"/>
          <w:kern w:val="2"/>
        </w:rPr>
      </w:pPr>
      <w:r>
        <w:rPr>
          <w:rFonts w:ascii="Times New Roman" w:hAnsi="Times New Roman" w:cs="Times New Roman"/>
          <w:kern w:val="2"/>
        </w:rPr>
        <w:t>1.</w:t>
      </w:r>
      <w:r>
        <w:rPr>
          <w:rFonts w:hint="eastAsia" w:ascii="Times New Roman" w:hAnsi="Times New Roman" w:cs="Times New Roman"/>
          <w:kern w:val="2"/>
        </w:rPr>
        <w:t>2网袋的长度、直径，可根据布设地的水深、水面宽度确定。生物仓布设的总长度以沟渠、河道宽度的</w:t>
      </w:r>
      <w:r>
        <w:rPr>
          <w:rFonts w:ascii="Times New Roman" w:hAnsi="Times New Roman" w:cs="Times New Roman"/>
          <w:kern w:val="2"/>
        </w:rPr>
        <w:t>30倍为宜。</w:t>
      </w:r>
    </w:p>
    <w:p w14:paraId="6D295760">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hint="eastAsia" w:ascii="Times New Roman" w:hAnsi="Times New Roman" w:cs="Times New Roman"/>
          <w:kern w:val="2"/>
        </w:rPr>
        <w:t>生物仓是微生物反应的固着基质，可为微生物提供生长空间，也可起过滤悬浮物和大颗粒物质作用，参考中国环境学会团体标准</w:t>
      </w:r>
      <w:r>
        <w:rPr>
          <w:rFonts w:ascii="Times New Roman" w:hAnsi="Times New Roman" w:cs="Times New Roman"/>
          <w:kern w:val="2"/>
        </w:rPr>
        <w:t>T/CSES 30-2021《污水处理厂尾水人工湿地深度净化技术指南》“基质”的定义，即“提供人工湿地植物与微生物生长并对污染物起过滤和吸附作用的填充材料，包括土壤、砂、砾石、沸石、石灰石、页岩、火山岩、塑料、生物质炭、生物陶粒、其它可去除特定污染物的新型环保材料等</w:t>
      </w:r>
      <w:r>
        <w:rPr>
          <w:rFonts w:hint="eastAsia" w:ascii="Times New Roman" w:hAnsi="Times New Roman" w:cs="Times New Roman"/>
          <w:kern w:val="2"/>
        </w:rPr>
        <w:t>”</w:t>
      </w:r>
      <w:r>
        <w:rPr>
          <w:rFonts w:ascii="Times New Roman" w:hAnsi="Times New Roman" w:cs="Times New Roman"/>
          <w:kern w:val="2"/>
        </w:rPr>
        <w:t>。</w:t>
      </w:r>
      <w:r>
        <w:rPr>
          <w:rFonts w:hint="eastAsia" w:ascii="Times New Roman" w:hAnsi="Times New Roman" w:cs="Times New Roman"/>
          <w:kern w:val="2"/>
        </w:rPr>
        <w:t>实物如图</w:t>
      </w:r>
      <w:r>
        <w:rPr>
          <w:rFonts w:ascii="Times New Roman" w:hAnsi="Times New Roman" w:cs="Times New Roman"/>
          <w:kern w:val="2"/>
        </w:rPr>
        <w:t>1所示。</w:t>
      </w:r>
      <w:r>
        <w:rPr>
          <w:rFonts w:hint="eastAsia" w:ascii="Times New Roman" w:hAnsi="Times New Roman" w:cs="Times New Roman"/>
          <w:kern w:val="2"/>
        </w:rPr>
        <w:t>改性后的聚氨酯海绵填料具有功能基，可与微生物肽链氨基酸残基作用，形成共价键结合，将微生物和酶固定在载体填料上，有利于培养菌大量繁殖，增大了生物载量，提高了污水处理效果。</w:t>
      </w:r>
    </w:p>
    <w:p w14:paraId="6609FF80">
      <w:pPr>
        <w:shd w:val="clear" w:color="auto" w:fill="auto"/>
        <w:autoSpaceDE/>
        <w:autoSpaceDN/>
        <w:rPr>
          <w:rFonts w:ascii="Times New Roman" w:hAnsi="Times New Roman" w:cs="Times New Roman"/>
          <w:kern w:val="2"/>
        </w:rPr>
      </w:pPr>
      <w:r>
        <w:rPr>
          <w:rFonts w:ascii="Times New Roman" w:hAnsi="Times New Roman" w:cs="Times New Roman"/>
          <w:kern w:val="2"/>
        </w:rPr>
        <w:drawing>
          <wp:inline distT="0" distB="0" distL="0" distR="0">
            <wp:extent cx="2566670" cy="2731135"/>
            <wp:effectExtent l="0" t="0" r="5080" b="0"/>
            <wp:docPr id="7774117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411709" name="图片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566670" cy="2731135"/>
                    </a:xfrm>
                    <a:prstGeom prst="rect">
                      <a:avLst/>
                    </a:prstGeom>
                    <a:noFill/>
                  </pic:spPr>
                </pic:pic>
              </a:graphicData>
            </a:graphic>
          </wp:inline>
        </w:drawing>
      </w:r>
      <w:r>
        <w:rPr>
          <w:rFonts w:ascii="Times New Roman" w:hAnsi="Times New Roman" w:cs="Times New Roman"/>
          <w:kern w:val="2"/>
        </w:rPr>
        <w:drawing>
          <wp:inline distT="0" distB="0" distL="0" distR="0">
            <wp:extent cx="2621280" cy="2725420"/>
            <wp:effectExtent l="0" t="0" r="7620" b="0"/>
            <wp:docPr id="152863426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634262" name="图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621280" cy="2725420"/>
                    </a:xfrm>
                    <a:prstGeom prst="rect">
                      <a:avLst/>
                    </a:prstGeom>
                    <a:noFill/>
                  </pic:spPr>
                </pic:pic>
              </a:graphicData>
            </a:graphic>
          </wp:inline>
        </w:drawing>
      </w:r>
    </w:p>
    <w:p w14:paraId="289BB4A2">
      <w:pPr>
        <w:shd w:val="clear" w:color="auto" w:fill="auto"/>
        <w:autoSpaceDE/>
        <w:autoSpaceDN/>
        <w:ind w:firstLine="0" w:firstLineChars="0"/>
        <w:jc w:val="center"/>
        <w:rPr>
          <w:rFonts w:ascii="Times New Roman" w:hAnsi="Times New Roman" w:cs="Times New Roman"/>
          <w:kern w:val="2"/>
          <w:szCs w:val="22"/>
        </w:rPr>
      </w:pPr>
      <w:r>
        <w:rPr>
          <w:rFonts w:hint="eastAsia" w:ascii="Times New Roman" w:hAnsi="Times New Roman" w:cs="Times New Roman"/>
          <w:kern w:val="2"/>
          <w:szCs w:val="22"/>
        </w:rPr>
        <w:t>图1 生物仓实物图</w:t>
      </w:r>
    </w:p>
    <w:p w14:paraId="786D6A3D">
      <w:pPr>
        <w:shd w:val="clear" w:color="auto" w:fill="auto"/>
        <w:autoSpaceDE/>
        <w:autoSpaceDN/>
        <w:ind w:firstLine="482"/>
        <w:rPr>
          <w:rFonts w:ascii="Times New Roman" w:hAnsi="Times New Roman" w:cs="Times New Roman"/>
          <w:b/>
          <w:bCs/>
          <w:kern w:val="2"/>
        </w:rPr>
      </w:pPr>
      <w:r>
        <w:rPr>
          <w:rFonts w:hint="eastAsia" w:ascii="Times New Roman" w:hAnsi="Times New Roman" w:cs="Times New Roman"/>
          <w:b/>
          <w:bCs/>
          <w:kern w:val="2"/>
        </w:rPr>
        <w:t>（5）</w:t>
      </w:r>
      <w:r>
        <w:rPr>
          <w:rFonts w:ascii="Times New Roman" w:hAnsi="Times New Roman" w:cs="Times New Roman"/>
          <w:b/>
          <w:bCs/>
          <w:kern w:val="2"/>
        </w:rPr>
        <w:t>生物模块</w:t>
      </w:r>
    </w:p>
    <w:p w14:paraId="189199A1">
      <w:pPr>
        <w:shd w:val="clear" w:color="auto" w:fill="auto"/>
        <w:autoSpaceDE/>
        <w:autoSpaceDN/>
        <w:rPr>
          <w:rFonts w:ascii="Times New Roman" w:hAnsi="Times New Roman" w:cs="Times New Roman"/>
          <w:kern w:val="2"/>
        </w:rPr>
      </w:pPr>
      <w:r>
        <w:rPr>
          <w:rFonts w:hint="eastAsia" w:ascii="Times New Roman" w:hAnsi="Times New Roman" w:cs="Times New Roman"/>
          <w:kern w:val="2"/>
        </w:rPr>
        <w:t>1.1利用生物绳填料制作而成的，根据结构形式及安装方式的不同，可分为固定式生物模块和悬浮式生物模块，</w:t>
      </w:r>
      <w:bookmarkStart w:id="59" w:name="_Hlk170287362"/>
      <w:r>
        <w:rPr>
          <w:rFonts w:hint="eastAsia" w:ascii="Times New Roman" w:hAnsi="Times New Roman" w:cs="Times New Roman"/>
          <w:kern w:val="2"/>
        </w:rPr>
        <w:t>生物模块的布设面积约占尾水治理区域水面面积的</w:t>
      </w:r>
      <w:r>
        <w:rPr>
          <w:rFonts w:ascii="Times New Roman" w:hAnsi="Times New Roman" w:cs="Times New Roman"/>
          <w:kern w:val="2"/>
        </w:rPr>
        <w:t>15%-20%。</w:t>
      </w:r>
      <w:bookmarkEnd w:id="59"/>
    </w:p>
    <w:p w14:paraId="24BF6585">
      <w:pPr>
        <w:shd w:val="clear" w:color="auto" w:fill="auto"/>
        <w:autoSpaceDE/>
        <w:autoSpaceDN/>
        <w:rPr>
          <w:rFonts w:ascii="Times New Roman" w:hAnsi="Times New Roman" w:cs="Times New Roman"/>
          <w:kern w:val="2"/>
        </w:rPr>
      </w:pPr>
      <w:r>
        <w:rPr>
          <w:rFonts w:ascii="Times New Roman" w:hAnsi="Times New Roman" w:cs="Times New Roman"/>
          <w:kern w:val="2"/>
        </w:rPr>
        <w:t>1.</w:t>
      </w:r>
      <w:r>
        <w:rPr>
          <w:rFonts w:hint="eastAsia" w:ascii="Times New Roman" w:hAnsi="Times New Roman" w:cs="Times New Roman"/>
          <w:kern w:val="2"/>
        </w:rPr>
        <w:t>2生物绳填料固定在钢骨架上，而制成的长方体形状的，一般固定安装在水下</w:t>
      </w:r>
      <w:r>
        <w:rPr>
          <w:rFonts w:ascii="Times New Roman" w:hAnsi="Times New Roman" w:cs="Times New Roman"/>
          <w:kern w:val="2"/>
        </w:rPr>
        <w:t>40</w:t>
      </w:r>
      <w:r>
        <w:rPr>
          <w:rFonts w:hint="eastAsia" w:ascii="Times New Roman" w:hAnsi="Times New Roman" w:cs="Times New Roman"/>
          <w:kern w:val="2"/>
        </w:rPr>
        <w:t xml:space="preserve"> </w:t>
      </w:r>
      <w:r>
        <w:rPr>
          <w:rFonts w:ascii="Times New Roman" w:hAnsi="Times New Roman" w:cs="Times New Roman"/>
          <w:kern w:val="2"/>
        </w:rPr>
        <w:t>cm处的，为固定式生物模块，外形尺寸以1.5</w:t>
      </w:r>
      <w:r>
        <w:rPr>
          <w:rFonts w:hint="eastAsia" w:ascii="Times New Roman" w:hAnsi="Times New Roman" w:cs="Times New Roman"/>
          <w:kern w:val="2"/>
        </w:rPr>
        <w:t xml:space="preserve"> m宽</w:t>
      </w:r>
      <w:r>
        <w:rPr>
          <w:rFonts w:ascii="Times New Roman" w:hAnsi="Times New Roman" w:cs="Times New Roman"/>
          <w:kern w:val="2"/>
        </w:rPr>
        <w:t>、1.5</w:t>
      </w:r>
      <w:r>
        <w:rPr>
          <w:rFonts w:hint="eastAsia" w:ascii="Times New Roman" w:hAnsi="Times New Roman" w:cs="Times New Roman"/>
          <w:kern w:val="2"/>
        </w:rPr>
        <w:t xml:space="preserve"> m</w:t>
      </w:r>
      <w:r>
        <w:rPr>
          <w:rFonts w:ascii="Times New Roman" w:hAnsi="Times New Roman" w:cs="Times New Roman"/>
          <w:kern w:val="2"/>
        </w:rPr>
        <w:t>高、3</w:t>
      </w:r>
      <w:r>
        <w:rPr>
          <w:rFonts w:hint="eastAsia" w:ascii="Times New Roman" w:hAnsi="Times New Roman" w:cs="Times New Roman"/>
          <w:kern w:val="2"/>
        </w:rPr>
        <w:t xml:space="preserve"> m</w:t>
      </w:r>
      <w:r>
        <w:rPr>
          <w:rFonts w:ascii="Times New Roman" w:hAnsi="Times New Roman" w:cs="Times New Roman"/>
          <w:kern w:val="2"/>
        </w:rPr>
        <w:t>长为宜。</w:t>
      </w:r>
    </w:p>
    <w:p w14:paraId="5DA6635A">
      <w:pPr>
        <w:shd w:val="clear" w:color="auto" w:fill="auto"/>
        <w:autoSpaceDE/>
        <w:autoSpaceDN/>
        <w:rPr>
          <w:rFonts w:ascii="Times New Roman" w:hAnsi="Times New Roman" w:cs="Times New Roman"/>
          <w:kern w:val="2"/>
        </w:rPr>
      </w:pPr>
      <w:r>
        <w:rPr>
          <w:rFonts w:hint="eastAsia" w:ascii="Times New Roman" w:hAnsi="Times New Roman" w:cs="Times New Roman"/>
          <w:kern w:val="2"/>
        </w:rPr>
        <w:t>1.3生物绳填料固定在浮体上，并辅以配重、拉绳，一般采用自水面上至水底下的安装方式，为悬浮式生物模块，每组悬浮式生物模块的深度、宽度与布设地的水深、水面宽度相同，长度以</w:t>
      </w:r>
      <w:r>
        <w:rPr>
          <w:rFonts w:ascii="Times New Roman" w:hAnsi="Times New Roman" w:cs="Times New Roman"/>
          <w:kern w:val="2"/>
        </w:rPr>
        <w:t>10</w:t>
      </w:r>
      <w:r>
        <w:rPr>
          <w:rFonts w:hint="eastAsia" w:ascii="Times New Roman" w:hAnsi="Times New Roman" w:cs="Times New Roman"/>
          <w:kern w:val="2"/>
        </w:rPr>
        <w:t xml:space="preserve"> </w:t>
      </w:r>
      <w:r>
        <w:rPr>
          <w:rFonts w:ascii="Times New Roman" w:hAnsi="Times New Roman" w:cs="Times New Roman"/>
          <w:kern w:val="2"/>
        </w:rPr>
        <w:t>m为宜。</w:t>
      </w:r>
    </w:p>
    <w:p w14:paraId="533E4AD6">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hint="eastAsia" w:ascii="Times New Roman" w:hAnsi="Times New Roman" w:cs="Times New Roman"/>
          <w:kern w:val="2"/>
        </w:rPr>
        <w:t>生物模块由生物填料构成，生物填料固定在钢架上的为固定式生物模块，固定在浮体上的为悬浮式生物模块，如图2所示。为了测定生物模块的布置量，我们对生物模块在治理区中的总分布面积占比与微生物活菌数量及停留时间之间的关系做了实验验证，形成了下述图3中所示，可以看出，随着占比的增加，有效微生物菌群的密度也在增加；随着停留时间的增加，微生物密度会稳固增加。当占比达到10%时，菌群密度达到稳定上限；当停留时间达到48 h，菌群密度达到菌群数量最佳状态－10</w:t>
      </w:r>
      <w:r>
        <w:rPr>
          <w:rFonts w:hint="eastAsia" w:ascii="Times New Roman" w:hAnsi="Times New Roman" w:cs="Times New Roman"/>
          <w:kern w:val="2"/>
          <w:vertAlign w:val="superscript"/>
        </w:rPr>
        <w:t>8</w:t>
      </w:r>
      <w:r>
        <w:rPr>
          <w:rFonts w:hint="eastAsia" w:ascii="Times New Roman" w:hAnsi="Times New Roman" w:cs="Times New Roman"/>
          <w:kern w:val="2"/>
        </w:rPr>
        <w:t xml:space="preserve"> CFU/mL。因本项目主要功能区内均有排水，所以根据使用经验，生物模块占比提升2%-3%，因此，生物模块的布设面积定为占尾水治理区域水面面积的</w:t>
      </w:r>
      <w:r>
        <w:rPr>
          <w:rFonts w:ascii="Times New Roman" w:hAnsi="Times New Roman" w:cs="Times New Roman"/>
          <w:kern w:val="2"/>
        </w:rPr>
        <w:t>15%-20%。</w:t>
      </w:r>
    </w:p>
    <w:p w14:paraId="17C9D71A">
      <w:pPr>
        <w:shd w:val="clear" w:color="auto" w:fill="auto"/>
        <w:autoSpaceDE/>
        <w:autoSpaceDN/>
        <w:rPr>
          <w:rFonts w:ascii="Times New Roman" w:hAnsi="Times New Roman" w:cs="Times New Roman"/>
          <w:kern w:val="2"/>
        </w:rPr>
      </w:pPr>
      <w:r>
        <w:rPr>
          <w:rFonts w:hint="eastAsia" w:ascii="Times New Roman" w:hAnsi="Times New Roman" w:cs="Times New Roman"/>
          <w:kern w:val="2"/>
        </w:rPr>
        <w:t>外形尺寸大小基</w:t>
      </w:r>
      <w:r>
        <w:rPr>
          <w:rFonts w:ascii="Times New Roman" w:hAnsi="Times New Roman" w:cs="Times New Roman"/>
          <w:kern w:val="2"/>
        </w:rPr>
        <w:t>于</w:t>
      </w:r>
      <w:r>
        <w:rPr>
          <w:rFonts w:hint="eastAsia" w:ascii="Times New Roman" w:hAnsi="Times New Roman" w:cs="Times New Roman"/>
          <w:kern w:val="2"/>
        </w:rPr>
        <w:t>实际项目应用、</w:t>
      </w:r>
      <w:r>
        <w:rPr>
          <w:rFonts w:ascii="Times New Roman" w:hAnsi="Times New Roman" w:cs="Times New Roman"/>
          <w:kern w:val="2"/>
        </w:rPr>
        <w:t>工程需求、处理效果及经济成本等因素综合考虑后得出。</w:t>
      </w:r>
    </w:p>
    <w:p w14:paraId="354DAE61">
      <w:pPr>
        <w:shd w:val="clear" w:color="auto" w:fill="auto"/>
        <w:autoSpaceDE/>
        <w:autoSpaceDN/>
        <w:rPr>
          <w:rFonts w:ascii="Times New Roman" w:hAnsi="Times New Roman" w:cs="Times New Roman"/>
          <w:b/>
          <w:bCs/>
          <w:kern w:val="2"/>
        </w:rPr>
      </w:pPr>
      <w:r>
        <w:rPr>
          <w:rFonts w:hint="eastAsia"/>
        </w:rPr>
        <w:drawing>
          <wp:inline distT="0" distB="0" distL="0" distR="0">
            <wp:extent cx="2674620" cy="2011680"/>
            <wp:effectExtent l="0" t="0" r="0" b="7620"/>
            <wp:docPr id="174270996" name="图片 7" descr="30062f7a5e551502ec3cf3f56f3a5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70996" name="图片 7" descr="30062f7a5e551502ec3cf3f56f3a5e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674620" cy="2011680"/>
                    </a:xfrm>
                    <a:prstGeom prst="rect">
                      <a:avLst/>
                    </a:prstGeom>
                    <a:noFill/>
                    <a:ln>
                      <a:noFill/>
                    </a:ln>
                  </pic:spPr>
                </pic:pic>
              </a:graphicData>
            </a:graphic>
          </wp:inline>
        </w:drawing>
      </w:r>
      <w:r>
        <w:rPr>
          <w:rFonts w:ascii="Times New Roman" w:hAnsi="Times New Roman" w:cs="Times New Roman"/>
          <w:b/>
          <w:bCs/>
          <w:kern w:val="2"/>
        </w:rPr>
        <w:drawing>
          <wp:inline distT="0" distB="0" distL="0" distR="0">
            <wp:extent cx="2426335" cy="2005965"/>
            <wp:effectExtent l="0" t="0" r="0" b="0"/>
            <wp:docPr id="6433796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379674" name="图片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426335" cy="2005965"/>
                    </a:xfrm>
                    <a:prstGeom prst="rect">
                      <a:avLst/>
                    </a:prstGeom>
                    <a:noFill/>
                  </pic:spPr>
                </pic:pic>
              </a:graphicData>
            </a:graphic>
          </wp:inline>
        </w:drawing>
      </w:r>
    </w:p>
    <w:p w14:paraId="00277FFB">
      <w:pPr>
        <w:shd w:val="clear" w:color="auto" w:fill="auto"/>
        <w:autoSpaceDE/>
        <w:autoSpaceDN/>
        <w:ind w:firstLine="0" w:firstLineChars="0"/>
        <w:jc w:val="center"/>
        <w:rPr>
          <w:rFonts w:ascii="Times New Roman" w:hAnsi="Times New Roman" w:cs="Times New Roman"/>
          <w:kern w:val="2"/>
        </w:rPr>
      </w:pPr>
      <w:r>
        <w:rPr>
          <w:rFonts w:hint="eastAsia" w:ascii="Times New Roman" w:hAnsi="Times New Roman" w:cs="Times New Roman"/>
          <w:kern w:val="2"/>
        </w:rPr>
        <w:t>图2 项目地治理区生物模块图（左为悬浮式生物模块，右为固定式生物模块）</w:t>
      </w:r>
    </w:p>
    <w:p w14:paraId="06657144">
      <w:pPr>
        <w:shd w:val="clear" w:color="auto" w:fill="auto"/>
        <w:autoSpaceDE/>
        <w:autoSpaceDN/>
        <w:jc w:val="center"/>
        <w:rPr>
          <w:rFonts w:ascii="Times New Roman" w:hAnsi="Times New Roman" w:cs="Times New Roman"/>
          <w:kern w:val="2"/>
        </w:rPr>
      </w:pPr>
      <w:r>
        <w:rPr>
          <w:rFonts w:ascii="Times New Roman" w:hAnsi="Times New Roman" w:cs="Times New Roman"/>
          <w:kern w:val="2"/>
        </w:rPr>
        <w:drawing>
          <wp:inline distT="0" distB="0" distL="0" distR="0">
            <wp:extent cx="3462655" cy="2932430"/>
            <wp:effectExtent l="0" t="0" r="4445" b="1270"/>
            <wp:docPr id="78707499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074995" name="图片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462655" cy="2932430"/>
                    </a:xfrm>
                    <a:prstGeom prst="rect">
                      <a:avLst/>
                    </a:prstGeom>
                    <a:noFill/>
                  </pic:spPr>
                </pic:pic>
              </a:graphicData>
            </a:graphic>
          </wp:inline>
        </w:drawing>
      </w:r>
    </w:p>
    <w:p w14:paraId="7CB6F034">
      <w:pPr>
        <w:shd w:val="clear" w:color="auto" w:fill="auto"/>
        <w:autoSpaceDE/>
        <w:autoSpaceDN/>
        <w:ind w:firstLine="0" w:firstLineChars="0"/>
        <w:jc w:val="center"/>
        <w:rPr>
          <w:rFonts w:ascii="Times New Roman" w:hAnsi="Times New Roman" w:cs="Times New Roman"/>
          <w:kern w:val="2"/>
        </w:rPr>
      </w:pPr>
      <w:r>
        <w:rPr>
          <w:rFonts w:ascii="Times New Roman" w:hAnsi="Times New Roman" w:cs="Times New Roman"/>
          <w:kern w:val="2"/>
        </w:rPr>
        <w:t>图</w:t>
      </w:r>
      <w:r>
        <w:rPr>
          <w:rFonts w:hint="eastAsia" w:ascii="Times New Roman" w:hAnsi="Times New Roman" w:cs="Times New Roman"/>
          <w:kern w:val="2"/>
        </w:rPr>
        <w:t>3生物模块的分布面积和微生物活菌数量及时间的关系图</w:t>
      </w:r>
    </w:p>
    <w:p w14:paraId="1129F370">
      <w:pPr>
        <w:shd w:val="clear" w:color="auto" w:fill="auto"/>
        <w:autoSpaceDE/>
        <w:autoSpaceDN/>
        <w:ind w:firstLine="482"/>
        <w:rPr>
          <w:rFonts w:ascii="Times New Roman" w:hAnsi="Times New Roman" w:cs="Times New Roman"/>
          <w:b/>
          <w:bCs/>
          <w:kern w:val="2"/>
        </w:rPr>
      </w:pPr>
      <w:bookmarkStart w:id="60" w:name="_Hlk169010484"/>
      <w:r>
        <w:rPr>
          <w:rFonts w:hint="eastAsia" w:ascii="Times New Roman" w:hAnsi="Times New Roman" w:cs="Times New Roman"/>
          <w:b/>
          <w:bCs/>
          <w:kern w:val="2"/>
        </w:rPr>
        <w:t>（6）</w:t>
      </w:r>
      <w:r>
        <w:rPr>
          <w:rFonts w:ascii="Times New Roman" w:hAnsi="Times New Roman" w:cs="Times New Roman"/>
          <w:b/>
          <w:bCs/>
          <w:kern w:val="2"/>
        </w:rPr>
        <w:t>调节沉淀区</w:t>
      </w:r>
    </w:p>
    <w:p w14:paraId="116CDCA4">
      <w:pPr>
        <w:shd w:val="clear" w:color="auto" w:fill="auto"/>
        <w:autoSpaceDE/>
        <w:autoSpaceDN/>
        <w:rPr>
          <w:rFonts w:ascii="Times New Roman" w:hAnsi="Times New Roman" w:cs="Times New Roman"/>
          <w:kern w:val="2"/>
        </w:rPr>
      </w:pPr>
      <w:r>
        <w:rPr>
          <w:rFonts w:hint="eastAsia" w:ascii="Times New Roman" w:hAnsi="Times New Roman" w:cs="Times New Roman"/>
          <w:kern w:val="2"/>
        </w:rPr>
        <w:t>1.1设置在尾水治理区域前段，以收集系统排水口为起始端，以生态截滤坝为末端，用于对尾水进行一定时间的停留和储存，促使水中悬浮物和大颗粒物质沉降、沉淀的区域。</w:t>
      </w:r>
    </w:p>
    <w:p w14:paraId="185947F6">
      <w:pPr>
        <w:shd w:val="clear" w:color="auto" w:fill="auto"/>
        <w:autoSpaceDE/>
        <w:autoSpaceDN/>
        <w:rPr>
          <w:rFonts w:ascii="Times New Roman" w:hAnsi="Times New Roman" w:cs="Times New Roman"/>
          <w:kern w:val="2"/>
        </w:rPr>
      </w:pPr>
      <w:r>
        <w:rPr>
          <w:rFonts w:ascii="Times New Roman" w:hAnsi="Times New Roman" w:cs="Times New Roman"/>
          <w:kern w:val="2"/>
        </w:rPr>
        <w:t>1.2</w:t>
      </w:r>
      <w:r>
        <w:rPr>
          <w:rFonts w:hint="eastAsia" w:ascii="Times New Roman" w:hAnsi="Times New Roman" w:cs="Times New Roman"/>
          <w:kern w:val="2"/>
        </w:rPr>
        <w:t>调节沉淀区面积占尾水治理区域面积比例约为</w:t>
      </w:r>
      <w:r>
        <w:rPr>
          <w:rFonts w:ascii="Times New Roman" w:hAnsi="Times New Roman" w:cs="Times New Roman"/>
          <w:kern w:val="2"/>
        </w:rPr>
        <w:t>20%。在区域内间隔布设导流板、帆布、生物仓，种植水生植物，投放水生动物，末端设置生态截滤坝。</w:t>
      </w:r>
    </w:p>
    <w:p w14:paraId="342A6DAD">
      <w:pPr>
        <w:shd w:val="clear" w:color="auto" w:fill="auto"/>
        <w:autoSpaceDE/>
        <w:autoSpaceDN/>
        <w:ind w:firstLine="482"/>
        <w:rPr>
          <w:rFonts w:ascii="Times New Roman" w:hAnsi="Times New Roman" w:cs="Times New Roman"/>
          <w:b/>
          <w:bCs/>
          <w:kern w:val="2"/>
        </w:rPr>
      </w:pPr>
      <w:r>
        <w:rPr>
          <w:rFonts w:ascii="Times New Roman" w:hAnsi="Times New Roman" w:cs="Times New Roman"/>
          <w:b/>
          <w:bCs/>
          <w:kern w:val="2"/>
        </w:rPr>
        <w:t>编写依据：</w:t>
      </w:r>
      <w:r>
        <w:rPr>
          <w:rFonts w:hint="eastAsia" w:ascii="Times New Roman" w:hAnsi="Times New Roman" w:cs="Times New Roman"/>
          <w:kern w:val="2"/>
        </w:rPr>
        <w:t>调节沉淀区是尾水处理系统中的关键组成部分，为预处理阶段，主要是待处理水的汇集，具有调节、沉淀的作用，它通过一系列精心设计的生态工程措施，有效提升水质净化效率。区内间隔布设的导流板能够调整水流方向和速度，延长水体停留时间，促进悬浮物沉降。帆布的设置有助于遮挡阳光，控制藻类生长，同时促进水流均匀分布。生物仓内的填料为微生物提供了丰富的生长环境，增强了对有机污染物的生物降解作用。水生植物的种植不仅通过根系吸收水中的营养盐，还通过光合作用释放氧气，增加水体的溶解氧含量。</w:t>
      </w:r>
      <w:bookmarkStart w:id="61" w:name="_Hlk170301857"/>
      <w:r>
        <w:rPr>
          <w:rFonts w:hint="eastAsia" w:ascii="Times New Roman" w:hAnsi="Times New Roman" w:cs="Times New Roman"/>
          <w:kern w:val="2"/>
        </w:rPr>
        <w:t>水生动物的投放进一步通过食物链控制藻类和微生物的过量繁殖，活跃物质循环</w:t>
      </w:r>
      <w:bookmarkEnd w:id="61"/>
      <w:r>
        <w:rPr>
          <w:rFonts w:hint="eastAsia" w:ascii="Times New Roman" w:hAnsi="Times New Roman" w:cs="Times New Roman"/>
          <w:kern w:val="2"/>
        </w:rPr>
        <w:t>。末端的生态截滤坝用于功能区划分的物理隔离，也可拦截剩余的悬浮物，同时坝体本身也是生物附着和生长的场所，增强了生物处理能力。综合这些措施，调节沉淀区不仅提高了尾水的处理效率，还有助于恢复和保护水体生态系统，促进水资源的可持续利用。</w:t>
      </w:r>
    </w:p>
    <w:bookmarkEnd w:id="60"/>
    <w:p w14:paraId="5ABE605C">
      <w:pPr>
        <w:shd w:val="clear" w:color="auto" w:fill="auto"/>
        <w:autoSpaceDE/>
        <w:autoSpaceDN/>
        <w:ind w:firstLine="482"/>
        <w:rPr>
          <w:rFonts w:ascii="Times New Roman" w:hAnsi="Times New Roman" w:cs="Times New Roman"/>
          <w:b/>
          <w:bCs/>
          <w:kern w:val="2"/>
        </w:rPr>
      </w:pPr>
      <w:r>
        <w:rPr>
          <w:rFonts w:hint="eastAsia" w:ascii="Times New Roman" w:hAnsi="Times New Roman" w:cs="Times New Roman"/>
          <w:b/>
          <w:bCs/>
          <w:kern w:val="2"/>
        </w:rPr>
        <w:t>（7）</w:t>
      </w:r>
      <w:r>
        <w:rPr>
          <w:rFonts w:ascii="Times New Roman" w:hAnsi="Times New Roman" w:cs="Times New Roman"/>
          <w:b/>
          <w:bCs/>
          <w:kern w:val="2"/>
        </w:rPr>
        <w:t>功能降解区</w:t>
      </w:r>
    </w:p>
    <w:p w14:paraId="54839372">
      <w:pPr>
        <w:shd w:val="clear" w:color="auto" w:fill="auto"/>
        <w:autoSpaceDE/>
        <w:autoSpaceDN/>
        <w:rPr>
          <w:rFonts w:ascii="Times New Roman" w:hAnsi="Times New Roman" w:cs="Times New Roman"/>
          <w:kern w:val="2"/>
        </w:rPr>
      </w:pPr>
      <w:r>
        <w:rPr>
          <w:rFonts w:hint="eastAsia" w:ascii="Times New Roman" w:hAnsi="Times New Roman" w:cs="Times New Roman"/>
          <w:kern w:val="2"/>
        </w:rPr>
        <w:t>1.1设置在尾水治理区域中段，以调节沉淀区末端的生态截滤坝为起始端，以功能降解区末端的生态截滤坝为末端，用于对尾水中污染物进行降解处理的区域。</w:t>
      </w:r>
    </w:p>
    <w:p w14:paraId="56BC5714">
      <w:pPr>
        <w:shd w:val="clear" w:color="auto" w:fill="auto"/>
        <w:autoSpaceDE/>
        <w:autoSpaceDN/>
        <w:rPr>
          <w:rFonts w:ascii="Times New Roman" w:hAnsi="Times New Roman" w:cs="Times New Roman"/>
          <w:kern w:val="2"/>
        </w:rPr>
      </w:pPr>
      <w:r>
        <w:rPr>
          <w:rFonts w:ascii="Times New Roman" w:hAnsi="Times New Roman" w:cs="Times New Roman"/>
          <w:kern w:val="2"/>
        </w:rPr>
        <w:t>1.2</w:t>
      </w:r>
      <w:r>
        <w:rPr>
          <w:rFonts w:hint="eastAsia" w:ascii="Times New Roman" w:hAnsi="Times New Roman" w:cs="Times New Roman"/>
          <w:kern w:val="2"/>
        </w:rPr>
        <w:t>功能降解区面积占尾水治理区域面积比例约为</w:t>
      </w:r>
      <w:r>
        <w:rPr>
          <w:rFonts w:ascii="Times New Roman" w:hAnsi="Times New Roman" w:cs="Times New Roman"/>
          <w:kern w:val="2"/>
        </w:rPr>
        <w:t>60%。</w:t>
      </w:r>
    </w:p>
    <w:p w14:paraId="12656BDE">
      <w:pPr>
        <w:shd w:val="clear" w:color="auto" w:fill="auto"/>
        <w:autoSpaceDE/>
        <w:autoSpaceDN/>
        <w:rPr>
          <w:rFonts w:ascii="Times New Roman" w:hAnsi="Times New Roman" w:cs="Times New Roman"/>
          <w:kern w:val="2"/>
        </w:rPr>
      </w:pPr>
      <w:r>
        <w:rPr>
          <w:rFonts w:hint="eastAsia" w:ascii="Times New Roman" w:hAnsi="Times New Roman" w:cs="Times New Roman"/>
          <w:kern w:val="2"/>
        </w:rPr>
        <w:t>1.3</w:t>
      </w:r>
      <w:r>
        <w:rPr>
          <w:rFonts w:ascii="Times New Roman" w:hAnsi="Times New Roman" w:cs="Times New Roman"/>
          <w:kern w:val="2"/>
        </w:rPr>
        <w:t>区域内间隔布设增氧曝气设备、生物浮岛、固定式生物模块、悬浮式生物模块、生物仓，种植水生植物，投放水生动物</w:t>
      </w:r>
      <w:r>
        <w:rPr>
          <w:rFonts w:hint="eastAsia" w:ascii="Times New Roman" w:hAnsi="Times New Roman" w:cs="Times New Roman"/>
          <w:kern w:val="2"/>
        </w:rPr>
        <w:t>。</w:t>
      </w:r>
    </w:p>
    <w:p w14:paraId="57E7CFB5">
      <w:pPr>
        <w:shd w:val="clear" w:color="auto" w:fill="auto"/>
        <w:autoSpaceDE/>
        <w:autoSpaceDN/>
        <w:rPr>
          <w:rFonts w:ascii="Times New Roman" w:hAnsi="Times New Roman" w:cs="Times New Roman"/>
          <w:kern w:val="2"/>
        </w:rPr>
      </w:pPr>
      <w:r>
        <w:rPr>
          <w:rFonts w:hint="eastAsia" w:ascii="Times New Roman" w:hAnsi="Times New Roman" w:cs="Times New Roman"/>
          <w:kern w:val="2"/>
        </w:rPr>
        <w:t>1.4其中</w:t>
      </w:r>
      <w:r>
        <w:rPr>
          <w:rFonts w:ascii="Times New Roman" w:hAnsi="Times New Roman" w:cs="Times New Roman"/>
          <w:kern w:val="2"/>
        </w:rPr>
        <w:t>生物仓、生物模块，作为投加功能性微生物的专门区域，末端设置生态截滤坝。</w:t>
      </w:r>
    </w:p>
    <w:p w14:paraId="73182519">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hint="eastAsia" w:ascii="Times New Roman" w:hAnsi="Times New Roman" w:cs="Times New Roman"/>
          <w:kern w:val="2"/>
        </w:rPr>
        <w:t>经调节沉淀区预处理的出水自流进入本处理阶段，污染降解、净化集中在本降解区完成。区域内间隔布设的增氧曝气设备提高了水中的溶解氧水平，为好氧微生物的活跃提供了必要条件，加速了有机物的生物降解过程。生物浮岛作为水生植物的栖息地，不仅吸收水中的营养物质，减少富营养化，还为水生生物提供了生态位。固定式和悬浮式生物模块增加了微生物的附着面积，强化了生物降解能力。生物仓作为投加功能性微生物的专门区域，针对性地提升了特定污染物的降解效率。水生植物通过光合作用参与水质净化，同时为水下生物提供庇护和食物来源。水生动物的投放进一步通过食物链控制藻类和微生物的过量繁殖，活跃物质循环。末端设置的生态截滤坝作为最后的质量保障措施，进一步拦截和去除水中的悬浮物和营养物质，确保尾水在安全排放前达到预期的处理效果。整体而言，功能降解区的设计综合了物理和生物处理技术，不仅提高了尾水处理的效率和效果，也为水生生态系统的恢复和保护提供了强有力的支持。功能降解区在尾水治理区域占主导地位，面积占尾水治理区域面积比例最多，约为</w:t>
      </w:r>
      <w:r>
        <w:rPr>
          <w:rFonts w:ascii="Times New Roman" w:hAnsi="Times New Roman" w:cs="Times New Roman"/>
          <w:kern w:val="2"/>
        </w:rPr>
        <w:t>60%。</w:t>
      </w:r>
    </w:p>
    <w:p w14:paraId="005421D4">
      <w:pPr>
        <w:shd w:val="clear" w:color="auto" w:fill="auto"/>
        <w:autoSpaceDE/>
        <w:autoSpaceDN/>
        <w:ind w:firstLine="482"/>
        <w:rPr>
          <w:rFonts w:ascii="Times New Roman" w:hAnsi="Times New Roman" w:cs="Times New Roman"/>
          <w:b/>
          <w:bCs/>
          <w:kern w:val="2"/>
        </w:rPr>
      </w:pPr>
      <w:r>
        <w:rPr>
          <w:rFonts w:hint="eastAsia" w:ascii="Times New Roman" w:hAnsi="Times New Roman" w:cs="Times New Roman"/>
          <w:b/>
          <w:bCs/>
          <w:kern w:val="2"/>
        </w:rPr>
        <w:t>（8）生态净化</w:t>
      </w:r>
      <w:r>
        <w:rPr>
          <w:rFonts w:ascii="Times New Roman" w:hAnsi="Times New Roman" w:cs="Times New Roman"/>
          <w:b/>
          <w:bCs/>
          <w:kern w:val="2"/>
        </w:rPr>
        <w:t>区</w:t>
      </w:r>
    </w:p>
    <w:p w14:paraId="36A26B4D">
      <w:pPr>
        <w:shd w:val="clear" w:color="auto" w:fill="auto"/>
        <w:tabs>
          <w:tab w:val="left" w:pos="1463"/>
        </w:tabs>
        <w:autoSpaceDE/>
        <w:autoSpaceDN/>
        <w:rPr>
          <w:rFonts w:ascii="Times New Roman" w:hAnsi="Times New Roman" w:cs="Times New Roman"/>
          <w:kern w:val="2"/>
        </w:rPr>
      </w:pPr>
      <w:r>
        <w:rPr>
          <w:rFonts w:hint="eastAsia" w:ascii="Times New Roman" w:hAnsi="Times New Roman" w:cs="Times New Roman"/>
          <w:kern w:val="2"/>
        </w:rPr>
        <w:t>1.1设置在尾水治理区域末段，以功能降解区末端的生态截滤坝为起始端，以排水闸门为末端，利用水生动植物对尾水中污染物进一步的吸收、转换。</w:t>
      </w:r>
    </w:p>
    <w:p w14:paraId="0FFB460A">
      <w:pPr>
        <w:shd w:val="clear" w:color="auto" w:fill="auto"/>
        <w:tabs>
          <w:tab w:val="left" w:pos="1463"/>
        </w:tabs>
        <w:autoSpaceDE/>
        <w:autoSpaceDN/>
        <w:rPr>
          <w:rFonts w:ascii="Times New Roman" w:hAnsi="Times New Roman" w:cs="Times New Roman"/>
          <w:kern w:val="2"/>
        </w:rPr>
      </w:pPr>
      <w:r>
        <w:rPr>
          <w:rFonts w:ascii="Times New Roman" w:hAnsi="Times New Roman" w:cs="Times New Roman"/>
          <w:kern w:val="2"/>
        </w:rPr>
        <w:t>1.2</w:t>
      </w:r>
      <w:r>
        <w:rPr>
          <w:rFonts w:hint="eastAsia" w:ascii="Times New Roman" w:hAnsi="Times New Roman" w:cs="Times New Roman"/>
          <w:kern w:val="2"/>
        </w:rPr>
        <w:t>生态净化区面积占尾水治理区域面积比例约为</w:t>
      </w:r>
      <w:r>
        <w:rPr>
          <w:rFonts w:ascii="Times New Roman" w:hAnsi="Times New Roman" w:cs="Times New Roman"/>
          <w:kern w:val="2"/>
        </w:rPr>
        <w:t>20%。</w:t>
      </w:r>
    </w:p>
    <w:p w14:paraId="35BAA00F">
      <w:pPr>
        <w:shd w:val="clear" w:color="auto" w:fill="auto"/>
        <w:tabs>
          <w:tab w:val="left" w:pos="1463"/>
        </w:tabs>
        <w:autoSpaceDE/>
        <w:autoSpaceDN/>
        <w:rPr>
          <w:rFonts w:ascii="Times New Roman" w:hAnsi="Times New Roman" w:cs="Times New Roman"/>
          <w:kern w:val="2"/>
        </w:rPr>
      </w:pPr>
      <w:r>
        <w:rPr>
          <w:rFonts w:hint="eastAsia" w:ascii="Times New Roman" w:hAnsi="Times New Roman" w:cs="Times New Roman"/>
          <w:kern w:val="2"/>
        </w:rPr>
        <w:t>1.3</w:t>
      </w:r>
      <w:r>
        <w:rPr>
          <w:rFonts w:ascii="Times New Roman" w:hAnsi="Times New Roman" w:cs="Times New Roman"/>
          <w:kern w:val="2"/>
        </w:rPr>
        <w:t>区域内布设喷泉、生物浮岛、种植水生植物、投放水生动物，末端设置水坝、闸门及水质监测点。</w:t>
      </w:r>
    </w:p>
    <w:p w14:paraId="539B42A7">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hint="eastAsia" w:ascii="Times New Roman" w:hAnsi="Times New Roman" w:cs="Times New Roman"/>
          <w:kern w:val="2"/>
        </w:rPr>
        <w:t>生态净化区为进一步降解功能降解区出水未达标的污染物，保证出水达标，是一个综合性的水处理区域，以实现水质的自然净化和生态系统的健康维持。区域内布设的喷泉不仅增加了水体的流动性，促进了水体与空气的充分接触，提高了溶解氧水平，而且为水生生物提供了活泼的水环境。生物浮岛作为生态工程的一种形式，其上种植的水生植物能够吸收水中的营养物质，如氮和磷，减少水体富营养化现象，同时为水生动物提供栖息地和食物来源。投放的水生动物则通过捕食藻类和悬浮颗粒物净化水质，控制藻类过度繁殖预防富营养化，促进水体营养物质的自然循环。末端设置的水坝和闸门用于调节水位和流速，为水体提供必要的停留时间，确保污染物得到充分降解，同时也便于管理和调控水流。此外，水质监测点的设置对于实时监控水质状况、评估净化效果以及及时调整管理措施至关重要。综合这些措施，生态净化区不仅提升了水质，还营造了一个生物多样性丰富、生态功能健全的水生环境。</w:t>
      </w:r>
    </w:p>
    <w:p w14:paraId="0658ED65">
      <w:pPr>
        <w:shd w:val="clear" w:color="auto" w:fill="auto"/>
        <w:autoSpaceDE/>
        <w:autoSpaceDN/>
        <w:ind w:firstLine="482"/>
        <w:rPr>
          <w:rFonts w:ascii="Times New Roman" w:hAnsi="Times New Roman" w:cs="Times New Roman"/>
          <w:b/>
          <w:bCs/>
          <w:kern w:val="2"/>
        </w:rPr>
      </w:pPr>
      <w:r>
        <w:rPr>
          <w:rFonts w:hint="eastAsia" w:ascii="Times New Roman" w:hAnsi="Times New Roman" w:cs="Times New Roman"/>
          <w:b/>
          <w:bCs/>
          <w:kern w:val="2"/>
        </w:rPr>
        <w:t>（9）水生植物</w:t>
      </w:r>
    </w:p>
    <w:p w14:paraId="1C97DE50">
      <w:pPr>
        <w:shd w:val="clear" w:color="auto" w:fill="auto"/>
        <w:autoSpaceDE/>
        <w:autoSpaceDN/>
        <w:rPr>
          <w:rFonts w:ascii="Times New Roman" w:hAnsi="Times New Roman" w:cs="Times New Roman"/>
          <w:kern w:val="2"/>
        </w:rPr>
      </w:pPr>
      <w:r>
        <w:rPr>
          <w:rFonts w:hint="eastAsia" w:ascii="Times New Roman" w:hAnsi="Times New Roman" w:cs="Times New Roman"/>
          <w:kern w:val="2"/>
        </w:rPr>
        <w:t>1.1淡水养殖在</w:t>
      </w:r>
      <w:bookmarkStart w:id="62" w:name="_Hlk169767606"/>
      <w:r>
        <w:rPr>
          <w:rFonts w:hint="eastAsia" w:ascii="Times New Roman" w:hAnsi="Times New Roman" w:cs="Times New Roman"/>
          <w:kern w:val="2"/>
        </w:rPr>
        <w:t>近岸浅水可种植蒲苇、旱伞草、美人蕉、菖蒲等挺水植物</w:t>
      </w:r>
      <w:bookmarkEnd w:id="62"/>
      <w:r>
        <w:rPr>
          <w:rFonts w:hint="eastAsia" w:ascii="Times New Roman" w:hAnsi="Times New Roman" w:cs="Times New Roman"/>
          <w:kern w:val="2"/>
        </w:rPr>
        <w:t>，深水区可种植轮叶黑藻、菹草、苦草等沉水植物，水面可选择凤眼莲、莲子草等漂浮植物，水体可选用着生藻类和浮游藻类。</w:t>
      </w:r>
    </w:p>
    <w:p w14:paraId="09385365">
      <w:pPr>
        <w:shd w:val="clear" w:color="auto" w:fill="auto"/>
        <w:autoSpaceDE/>
        <w:autoSpaceDN/>
        <w:rPr>
          <w:rFonts w:ascii="Times New Roman" w:hAnsi="Times New Roman" w:cs="Times New Roman"/>
          <w:kern w:val="2"/>
        </w:rPr>
      </w:pPr>
      <w:r>
        <w:rPr>
          <w:rFonts w:ascii="Times New Roman" w:hAnsi="Times New Roman" w:cs="Times New Roman"/>
          <w:kern w:val="2"/>
        </w:rPr>
        <w:t>1.2</w:t>
      </w:r>
      <w:r>
        <w:rPr>
          <w:rFonts w:hint="eastAsia" w:ascii="Times New Roman" w:hAnsi="Times New Roman" w:cs="Times New Roman"/>
          <w:kern w:val="2"/>
        </w:rPr>
        <w:t>海水养殖可选用江蓠、红毛菜、海马齿等耐盐植物。</w:t>
      </w:r>
    </w:p>
    <w:p w14:paraId="50E4033C">
      <w:pPr>
        <w:shd w:val="clear" w:color="auto" w:fill="auto"/>
        <w:autoSpaceDE/>
        <w:autoSpaceDN/>
        <w:rPr>
          <w:rFonts w:ascii="Times New Roman" w:hAnsi="Times New Roman" w:cs="Times New Roman"/>
          <w:kern w:val="2"/>
        </w:rPr>
      </w:pPr>
      <w:r>
        <w:rPr>
          <w:rFonts w:hint="eastAsia" w:ascii="Times New Roman" w:hAnsi="Times New Roman" w:cs="Times New Roman"/>
          <w:kern w:val="2"/>
        </w:rPr>
        <w:t>1.3水生植物面积应占水面面积的</w:t>
      </w:r>
      <w:r>
        <w:rPr>
          <w:rFonts w:ascii="Times New Roman" w:hAnsi="Times New Roman" w:cs="Times New Roman"/>
          <w:kern w:val="2"/>
        </w:rPr>
        <w:t>50%。</w:t>
      </w:r>
    </w:p>
    <w:p w14:paraId="565D01D1">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hint="eastAsia" w:ascii="Times New Roman" w:hAnsi="Times New Roman" w:cs="Times New Roman"/>
          <w:kern w:val="2"/>
        </w:rPr>
        <w:t>本章节根据水生植物适宜生长条件规范了淡水、海水种植的水生植物种类。</w:t>
      </w:r>
    </w:p>
    <w:p w14:paraId="491B93C7">
      <w:pPr>
        <w:shd w:val="clear" w:color="auto" w:fill="auto"/>
        <w:autoSpaceDE/>
        <w:autoSpaceDN/>
        <w:rPr>
          <w:rFonts w:ascii="Times New Roman" w:hAnsi="Times New Roman" w:cs="Times New Roman"/>
          <w:kern w:val="2"/>
        </w:rPr>
      </w:pPr>
      <w:r>
        <w:rPr>
          <w:rFonts w:hint="eastAsia" w:ascii="Times New Roman" w:hAnsi="Times New Roman" w:cs="Times New Roman"/>
          <w:kern w:val="2"/>
        </w:rPr>
        <w:t>水生植物对富营养化水体有阻挡、滞留、沉淀、过滤和吸收的作用，是生态沟渠和人工湿地的核心，选择适合的植物对污水处理的效果有至关重要的作用（张友德等，</w:t>
      </w:r>
      <w:r>
        <w:rPr>
          <w:rFonts w:ascii="Times New Roman" w:hAnsi="Times New Roman" w:cs="Times New Roman"/>
          <w:kern w:val="2"/>
        </w:rPr>
        <w:t>2023；林夕成，2023）。水生植物选择遵循因地制宜、适地适种、抗逆性强、净化能力强、根系发达、生态安全性、价值效益高的原则。</w:t>
      </w:r>
      <w:r>
        <w:rPr>
          <w:rFonts w:hint="eastAsia" w:ascii="Times New Roman" w:hAnsi="Times New Roman" w:cs="Times New Roman"/>
          <w:kern w:val="2"/>
        </w:rPr>
        <w:t>沉水植物、浮叶植物和挺水植物在空间、时间上混合搭配才能使整个湿地系统高效运转，最终形成稳定可持续利用的生态系统（李峰平等，</w:t>
      </w:r>
      <w:r>
        <w:rPr>
          <w:rFonts w:ascii="Times New Roman" w:hAnsi="Times New Roman" w:cs="Times New Roman"/>
          <w:kern w:val="2"/>
        </w:rPr>
        <w:t>2017）。</w:t>
      </w:r>
      <w:r>
        <w:rPr>
          <w:rFonts w:hint="eastAsia" w:ascii="Times New Roman" w:hAnsi="Times New Roman" w:cs="Times New Roman"/>
          <w:kern w:val="2"/>
        </w:rPr>
        <w:t>胡方旭（2019）研究表明轮叶黑藻、苦草这两</w:t>
      </w:r>
      <w:r>
        <w:rPr>
          <w:rFonts w:ascii="Times New Roman" w:hAnsi="Times New Roman" w:cs="Times New Roman"/>
          <w:kern w:val="2"/>
        </w:rPr>
        <w:t>种沉水植物对于水体有显著的净化效果</w:t>
      </w:r>
      <w:r>
        <w:rPr>
          <w:rFonts w:hint="eastAsia" w:ascii="Times New Roman" w:hAnsi="Times New Roman" w:cs="Times New Roman"/>
          <w:kern w:val="2"/>
        </w:rPr>
        <w:t>。沈佳（2008）中描述菹草</w:t>
      </w:r>
      <w:r>
        <w:rPr>
          <w:rFonts w:ascii="Times New Roman" w:hAnsi="Times New Roman" w:cs="Times New Roman"/>
          <w:kern w:val="2"/>
        </w:rPr>
        <w:t>是一种冬春型沉水植物</w:t>
      </w:r>
      <w:r>
        <w:rPr>
          <w:rFonts w:hint="eastAsia" w:ascii="Times New Roman" w:hAnsi="Times New Roman" w:cs="Times New Roman"/>
          <w:kern w:val="2"/>
        </w:rPr>
        <w:t>，</w:t>
      </w:r>
      <w:r>
        <w:rPr>
          <w:rFonts w:ascii="Times New Roman" w:hAnsi="Times New Roman" w:cs="Times New Roman"/>
          <w:kern w:val="2"/>
        </w:rPr>
        <w:t>适应能力强</w:t>
      </w:r>
      <w:r>
        <w:rPr>
          <w:rFonts w:hint="eastAsia" w:ascii="Times New Roman" w:hAnsi="Times New Roman" w:cs="Times New Roman"/>
          <w:kern w:val="2"/>
        </w:rPr>
        <w:t>，</w:t>
      </w:r>
      <w:r>
        <w:rPr>
          <w:rFonts w:ascii="Times New Roman" w:hAnsi="Times New Roman" w:cs="Times New Roman"/>
          <w:kern w:val="2"/>
        </w:rPr>
        <w:t>在受污严重的水体中生长茂密</w:t>
      </w:r>
      <w:r>
        <w:rPr>
          <w:rFonts w:hint="eastAsia" w:ascii="Times New Roman" w:hAnsi="Times New Roman" w:cs="Times New Roman"/>
          <w:kern w:val="2"/>
        </w:rPr>
        <w:t>，</w:t>
      </w:r>
      <w:r>
        <w:rPr>
          <w:rFonts w:ascii="Times New Roman" w:hAnsi="Times New Roman" w:cs="Times New Roman"/>
          <w:kern w:val="2"/>
        </w:rPr>
        <w:t>可作为冬春季节净化水质的主要沉水植物</w:t>
      </w:r>
      <w:r>
        <w:rPr>
          <w:rFonts w:hint="eastAsia" w:ascii="Times New Roman" w:hAnsi="Times New Roman" w:cs="Times New Roman"/>
          <w:kern w:val="2"/>
        </w:rPr>
        <w:t>。林夕成（</w:t>
      </w:r>
      <w:r>
        <w:rPr>
          <w:rFonts w:ascii="Times New Roman" w:hAnsi="Times New Roman" w:cs="Times New Roman"/>
          <w:kern w:val="2"/>
        </w:rPr>
        <w:t>2023）</w:t>
      </w:r>
      <w:r>
        <w:rPr>
          <w:rFonts w:hint="eastAsia" w:ascii="Times New Roman" w:hAnsi="Times New Roman" w:cs="Times New Roman"/>
          <w:kern w:val="2"/>
        </w:rPr>
        <w:t>等总结了</w:t>
      </w:r>
      <w:r>
        <w:rPr>
          <w:rFonts w:ascii="Times New Roman" w:hAnsi="Times New Roman" w:cs="Times New Roman"/>
          <w:kern w:val="2"/>
        </w:rPr>
        <w:t>17种植物净化能力及抗逆性比选如下表所示</w:t>
      </w:r>
      <w:r>
        <w:rPr>
          <w:rFonts w:hint="eastAsia" w:ascii="Times New Roman" w:hAnsi="Times New Roman" w:cs="Times New Roman"/>
          <w:kern w:val="2"/>
        </w:rPr>
        <w:t>。王成强（2022）比较了海马齿</w:t>
      </w:r>
      <w:r>
        <w:rPr>
          <w:rFonts w:ascii="Times New Roman" w:hAnsi="Times New Roman" w:cs="Times New Roman"/>
          <w:kern w:val="2"/>
        </w:rPr>
        <w:t>、碱蓬和江蓠等三种耐盐性植物对海水池塘养殖尾水中无机氮的净化效果</w:t>
      </w:r>
      <w:r>
        <w:rPr>
          <w:rFonts w:hint="eastAsia" w:ascii="Times New Roman" w:hAnsi="Times New Roman" w:cs="Times New Roman"/>
          <w:kern w:val="2"/>
        </w:rPr>
        <w:t>，发现江蓠、</w:t>
      </w:r>
      <w:r>
        <w:rPr>
          <w:rFonts w:ascii="Times New Roman" w:hAnsi="Times New Roman" w:cs="Times New Roman"/>
          <w:kern w:val="2"/>
        </w:rPr>
        <w:t>海马齿和碱蓬</w:t>
      </w:r>
      <w:r>
        <w:rPr>
          <w:rFonts w:hint="eastAsia" w:ascii="Times New Roman" w:hAnsi="Times New Roman" w:cs="Times New Roman"/>
          <w:kern w:val="2"/>
        </w:rPr>
        <w:t>都</w:t>
      </w:r>
      <w:r>
        <w:rPr>
          <w:rFonts w:ascii="Times New Roman" w:hAnsi="Times New Roman" w:cs="Times New Roman"/>
          <w:kern w:val="2"/>
        </w:rPr>
        <w:t>表现出较佳的养殖废水净化效果，其中江蓠效果最佳。</w:t>
      </w:r>
    </w:p>
    <w:p w14:paraId="420125DD">
      <w:pPr>
        <w:shd w:val="clear" w:color="auto" w:fill="auto"/>
        <w:autoSpaceDE/>
        <w:autoSpaceDN/>
        <w:rPr>
          <w:rFonts w:ascii="Times New Roman" w:hAnsi="Times New Roman" w:cs="Times New Roman"/>
          <w:kern w:val="2"/>
        </w:rPr>
      </w:pPr>
      <w:r>
        <w:rPr>
          <w:rFonts w:hint="eastAsia" w:ascii="Times New Roman" w:hAnsi="Times New Roman" w:cs="Times New Roman"/>
          <w:kern w:val="2"/>
        </w:rPr>
        <w:t>综上，结合江苏省区域环境特点和本土性，近岸浅水可种植挺水植物如蒲苇、旱伞草、美人蕉、菖蒲等；深水区可种植沉水植物如轮叶黑藻、菹草、苦草等；水面可选择凤眼莲、莲子草等漂浮植物，水体可选用着生藻类和浮游藻类。海水养殖可选用江蓠、红毛菜、海马齿等耐盐植物。</w:t>
      </w:r>
    </w:p>
    <w:p w14:paraId="411670B1">
      <w:pPr>
        <w:shd w:val="clear" w:color="auto" w:fill="auto"/>
        <w:autoSpaceDE/>
        <w:autoSpaceDN/>
        <w:rPr>
          <w:rFonts w:ascii="Times New Roman" w:hAnsi="Times New Roman" w:cs="Times New Roman"/>
          <w:kern w:val="2"/>
        </w:rPr>
      </w:pPr>
      <w:r>
        <w:rPr>
          <w:rFonts w:hint="eastAsia" w:ascii="Times New Roman" w:hAnsi="Times New Roman" w:cs="Times New Roman"/>
          <w:kern w:val="2"/>
        </w:rPr>
        <w:t>张友德,</w:t>
      </w:r>
      <w:r>
        <w:rPr>
          <w:rFonts w:ascii="Times New Roman" w:hAnsi="Times New Roman" w:cs="Times New Roman"/>
          <w:kern w:val="2"/>
        </w:rPr>
        <w:t xml:space="preserve"> </w:t>
      </w:r>
      <w:r>
        <w:rPr>
          <w:rFonts w:hint="eastAsia" w:ascii="Times New Roman" w:hAnsi="Times New Roman" w:cs="Times New Roman"/>
          <w:kern w:val="2"/>
        </w:rPr>
        <w:t>田文凤,</w:t>
      </w:r>
      <w:r>
        <w:rPr>
          <w:rFonts w:ascii="Times New Roman" w:hAnsi="Times New Roman" w:cs="Times New Roman"/>
          <w:kern w:val="2"/>
        </w:rPr>
        <w:t xml:space="preserve"> </w:t>
      </w:r>
      <w:r>
        <w:rPr>
          <w:rFonts w:hint="eastAsia" w:ascii="Times New Roman" w:hAnsi="Times New Roman" w:cs="Times New Roman"/>
          <w:kern w:val="2"/>
        </w:rPr>
        <w:t>张甜甜,</w:t>
      </w:r>
      <w:r>
        <w:rPr>
          <w:rFonts w:ascii="Times New Roman" w:hAnsi="Times New Roman" w:cs="Times New Roman"/>
          <w:kern w:val="2"/>
        </w:rPr>
        <w:t xml:space="preserve"> </w:t>
      </w:r>
      <w:r>
        <w:rPr>
          <w:rFonts w:hint="eastAsia" w:ascii="Times New Roman" w:hAnsi="Times New Roman" w:cs="Times New Roman"/>
          <w:kern w:val="2"/>
        </w:rPr>
        <w:t>徐 欣,</w:t>
      </w:r>
      <w:r>
        <w:rPr>
          <w:rFonts w:ascii="Times New Roman" w:hAnsi="Times New Roman" w:cs="Times New Roman"/>
          <w:kern w:val="2"/>
        </w:rPr>
        <w:t xml:space="preserve"> </w:t>
      </w:r>
      <w:r>
        <w:rPr>
          <w:rFonts w:hint="eastAsia" w:ascii="Times New Roman" w:hAnsi="Times New Roman" w:cs="Times New Roman"/>
          <w:kern w:val="2"/>
        </w:rPr>
        <w:t>许 玲.</w:t>
      </w:r>
      <w:r>
        <w:rPr>
          <w:rFonts w:ascii="Times New Roman" w:hAnsi="Times New Roman" w:cs="Times New Roman"/>
          <w:kern w:val="2"/>
        </w:rPr>
        <w:t xml:space="preserve"> 2023. </w:t>
      </w:r>
      <w:r>
        <w:rPr>
          <w:rFonts w:hint="eastAsia" w:ascii="Times New Roman" w:hAnsi="Times New Roman" w:cs="Times New Roman"/>
          <w:kern w:val="2"/>
        </w:rPr>
        <w:t>不同植物配置的生态沟渠对农田排水中氮磷的去除效果.</w:t>
      </w:r>
      <w:r>
        <w:rPr>
          <w:rFonts w:ascii="Times New Roman" w:hAnsi="Times New Roman" w:cs="Times New Roman"/>
          <w:kern w:val="2"/>
        </w:rPr>
        <w:t xml:space="preserve"> </w:t>
      </w:r>
      <w:r>
        <w:rPr>
          <w:rFonts w:hint="eastAsia" w:ascii="Times New Roman" w:hAnsi="Times New Roman" w:cs="Times New Roman"/>
          <w:kern w:val="2"/>
        </w:rPr>
        <w:t>安徽农业科学,</w:t>
      </w:r>
      <w:r>
        <w:rPr>
          <w:rFonts w:ascii="Times New Roman" w:hAnsi="Times New Roman" w:cs="Times New Roman"/>
          <w:kern w:val="2"/>
        </w:rPr>
        <w:t xml:space="preserve"> </w:t>
      </w:r>
      <w:r>
        <w:rPr>
          <w:rFonts w:hint="eastAsia" w:ascii="Times New Roman" w:hAnsi="Times New Roman" w:cs="Times New Roman"/>
          <w:kern w:val="2"/>
        </w:rPr>
        <w:t>51(10)</w:t>
      </w:r>
      <w:r>
        <w:rPr>
          <w:rFonts w:ascii="Times New Roman" w:hAnsi="Times New Roman" w:cs="Times New Roman"/>
          <w:kern w:val="2"/>
        </w:rPr>
        <w:t xml:space="preserve">: </w:t>
      </w:r>
      <w:r>
        <w:rPr>
          <w:rFonts w:hint="eastAsia" w:ascii="Times New Roman" w:hAnsi="Times New Roman" w:cs="Times New Roman"/>
          <w:kern w:val="2"/>
        </w:rPr>
        <w:t>43-45</w:t>
      </w:r>
      <w:r>
        <w:rPr>
          <w:rFonts w:ascii="Times New Roman" w:hAnsi="Times New Roman" w:cs="Times New Roman"/>
          <w:kern w:val="2"/>
        </w:rPr>
        <w:t>.</w:t>
      </w:r>
    </w:p>
    <w:p w14:paraId="14EE153D">
      <w:pPr>
        <w:shd w:val="clear" w:color="auto" w:fill="auto"/>
        <w:autoSpaceDE/>
        <w:autoSpaceDN/>
        <w:rPr>
          <w:rFonts w:ascii="Times New Roman" w:hAnsi="Times New Roman" w:cs="Times New Roman"/>
          <w:kern w:val="2"/>
        </w:rPr>
      </w:pPr>
      <w:r>
        <w:rPr>
          <w:rFonts w:hint="eastAsia" w:ascii="Times New Roman" w:hAnsi="Times New Roman" w:cs="Times New Roman"/>
          <w:kern w:val="2"/>
        </w:rPr>
        <w:t>李峰平</w:t>
      </w:r>
      <w:r>
        <w:rPr>
          <w:rFonts w:ascii="Times New Roman" w:hAnsi="Times New Roman" w:cs="Times New Roman"/>
          <w:kern w:val="2"/>
        </w:rPr>
        <w:t>, 魏红阳, 马喆, 王超. 2017. 人工湿地植物的选择及植物净化污水作用研究进展. 湿地科学, 15(6): 849-854.</w:t>
      </w:r>
    </w:p>
    <w:p w14:paraId="0CB17DF6">
      <w:pPr>
        <w:shd w:val="clear" w:color="auto" w:fill="auto"/>
        <w:autoSpaceDE/>
        <w:autoSpaceDN/>
        <w:rPr>
          <w:rFonts w:ascii="Times New Roman" w:hAnsi="Times New Roman" w:cs="Times New Roman"/>
          <w:kern w:val="2"/>
        </w:rPr>
      </w:pPr>
      <w:r>
        <w:rPr>
          <w:rFonts w:ascii="Times New Roman" w:hAnsi="Times New Roman" w:cs="Times New Roman"/>
          <w:kern w:val="2"/>
        </w:rPr>
        <w:t>胡方旭,张弘杰,秦梦钰,等.苦草、轮叶黑藻对养殖水体的净化效果研究[J].环境科学与技术, 2019(S1):8.</w:t>
      </w:r>
    </w:p>
    <w:p w14:paraId="1039EDB5">
      <w:pPr>
        <w:shd w:val="clear" w:color="auto" w:fill="auto"/>
        <w:autoSpaceDE/>
        <w:autoSpaceDN/>
        <w:rPr>
          <w:rFonts w:ascii="Times New Roman" w:hAnsi="Times New Roman" w:cs="Times New Roman"/>
          <w:kern w:val="2"/>
        </w:rPr>
      </w:pPr>
      <w:r>
        <w:rPr>
          <w:rFonts w:ascii="Times New Roman" w:hAnsi="Times New Roman" w:cs="Times New Roman"/>
          <w:kern w:val="2"/>
        </w:rPr>
        <w:t>沈佳.沉水植物菹草生物学特性及对污染水体净化能力的研究[D].南开大学,2008.</w:t>
      </w:r>
    </w:p>
    <w:p w14:paraId="1960FA18">
      <w:pPr>
        <w:shd w:val="clear" w:color="auto" w:fill="auto"/>
        <w:autoSpaceDE/>
        <w:autoSpaceDN/>
        <w:spacing w:before="62" w:after="62" w:line="400" w:lineRule="exact"/>
        <w:rPr>
          <w:rFonts w:ascii="Times New Roman" w:hAnsi="Times New Roman" w:cs="Times New Roman"/>
          <w:color w:val="0563C1"/>
          <w:kern w:val="2"/>
          <w:sz w:val="21"/>
          <w:szCs w:val="22"/>
          <w:u w:val="single"/>
        </w:rPr>
      </w:pPr>
      <w:r>
        <w:rPr>
          <w:rFonts w:hint="eastAsia" w:ascii="Times New Roman" w:hAnsi="Times New Roman" w:cs="Times New Roman"/>
          <w:kern w:val="2"/>
        </w:rPr>
        <w:t>林夕成.</w:t>
      </w:r>
      <w:r>
        <w:rPr>
          <w:rFonts w:ascii="Times New Roman" w:hAnsi="Times New Roman" w:cs="Times New Roman"/>
          <w:kern w:val="2"/>
        </w:rPr>
        <w:t xml:space="preserve"> 2023. </w:t>
      </w:r>
      <w:r>
        <w:rPr>
          <w:rFonts w:hint="eastAsia" w:ascii="Times New Roman" w:hAnsi="Times New Roman" w:cs="Times New Roman"/>
          <w:kern w:val="2"/>
        </w:rPr>
        <w:t>人工湿地中，水生植物该怎么选择？（附植物净化能力比选表）</w:t>
      </w:r>
      <w:r>
        <w:fldChar w:fldCharType="begin"/>
      </w:r>
      <w:r>
        <w:instrText xml:space="preserve"> HYPERLINK "https://mp.weixin.qq.com/s/eouXhw2jcPpKVdmNxH2Jcg" </w:instrText>
      </w:r>
      <w:r>
        <w:fldChar w:fldCharType="separate"/>
      </w:r>
      <w:r>
        <w:rPr>
          <w:rFonts w:hint="eastAsia" w:ascii="Times New Roman" w:hAnsi="Times New Roman" w:cs="Times New Roman"/>
          <w:color w:val="0563C1"/>
          <w:kern w:val="2"/>
          <w:sz w:val="21"/>
          <w:szCs w:val="22"/>
          <w:u w:val="single"/>
        </w:rPr>
        <w:t>https://mp.weixin.qq.com/s/eouXhw2jcPpKVdmNxH2Jcg</w:t>
      </w:r>
      <w:r>
        <w:rPr>
          <w:rFonts w:hint="eastAsia" w:ascii="Times New Roman" w:hAnsi="Times New Roman" w:cs="Times New Roman"/>
          <w:color w:val="0563C1"/>
          <w:kern w:val="2"/>
          <w:sz w:val="21"/>
          <w:szCs w:val="22"/>
          <w:u w:val="single"/>
        </w:rPr>
        <w:fldChar w:fldCharType="end"/>
      </w:r>
    </w:p>
    <w:p w14:paraId="38672D2E">
      <w:pPr>
        <w:shd w:val="clear" w:color="auto" w:fill="auto"/>
        <w:autoSpaceDE/>
        <w:autoSpaceDN/>
        <w:spacing w:before="62" w:after="62" w:line="400" w:lineRule="exact"/>
        <w:rPr>
          <w:rFonts w:ascii="Times New Roman" w:hAnsi="Times New Roman" w:cs="Times New Roman"/>
          <w:kern w:val="2"/>
          <w:sz w:val="21"/>
          <w:szCs w:val="22"/>
        </w:rPr>
      </w:pPr>
      <w:r>
        <w:rPr>
          <w:rFonts w:hint="eastAsia" w:ascii="Times New Roman" w:hAnsi="Times New Roman" w:cs="Times New Roman"/>
          <w:kern w:val="2"/>
        </w:rPr>
        <w:t>王成强.</w:t>
      </w:r>
      <w:r>
        <w:rPr>
          <w:rFonts w:ascii="Times New Roman" w:hAnsi="Times New Roman" w:cs="Times New Roman"/>
          <w:kern w:val="2"/>
        </w:rPr>
        <w:t>2022. 3种耐盐植物对水产养殖废水净化效果. 广东海洋大学学报, 42(3): 25-32.</w:t>
      </w:r>
    </w:p>
    <w:p w14:paraId="693D1BF8">
      <w:pPr>
        <w:shd w:val="clear" w:color="auto" w:fill="auto"/>
        <w:autoSpaceDE/>
        <w:autoSpaceDN/>
        <w:rPr>
          <w:rFonts w:ascii="Times New Roman" w:hAnsi="Times New Roman" w:cs="Times New Roman"/>
          <w:kern w:val="2"/>
        </w:rPr>
      </w:pPr>
      <w:r>
        <w:rPr>
          <w:rFonts w:ascii="Times New Roman" w:hAnsi="Times New Roman" w:cs="Times New Roman"/>
          <w:kern w:val="2"/>
        </w:rPr>
        <w:drawing>
          <wp:inline distT="0" distB="0" distL="0" distR="0">
            <wp:extent cx="4787265" cy="5239385"/>
            <wp:effectExtent l="0" t="0" r="0" b="0"/>
            <wp:docPr id="7473174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317469"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t="2826"/>
                    <a:stretch>
                      <a:fillRect/>
                    </a:stretch>
                  </pic:blipFill>
                  <pic:spPr>
                    <a:xfrm>
                      <a:off x="0" y="0"/>
                      <a:ext cx="4787265" cy="5239385"/>
                    </a:xfrm>
                    <a:prstGeom prst="rect">
                      <a:avLst/>
                    </a:prstGeom>
                    <a:noFill/>
                    <a:ln>
                      <a:noFill/>
                    </a:ln>
                  </pic:spPr>
                </pic:pic>
              </a:graphicData>
            </a:graphic>
          </wp:inline>
        </w:drawing>
      </w:r>
    </w:p>
    <w:p w14:paraId="6866E643">
      <w:pPr>
        <w:shd w:val="clear" w:color="auto" w:fill="auto"/>
        <w:autoSpaceDE/>
        <w:autoSpaceDN/>
        <w:ind w:firstLine="482"/>
        <w:rPr>
          <w:rFonts w:ascii="Times New Roman" w:hAnsi="Times New Roman" w:cs="Times New Roman"/>
          <w:b/>
          <w:bCs/>
          <w:kern w:val="2"/>
        </w:rPr>
      </w:pPr>
      <w:r>
        <w:rPr>
          <w:rFonts w:hint="eastAsia" w:ascii="Times New Roman" w:hAnsi="Times New Roman" w:cs="Times New Roman"/>
          <w:b/>
          <w:bCs/>
          <w:kern w:val="2"/>
        </w:rPr>
        <w:t>（10）水生动物</w:t>
      </w:r>
    </w:p>
    <w:p w14:paraId="4E9C8B21">
      <w:pPr>
        <w:shd w:val="clear" w:color="auto" w:fill="auto"/>
        <w:autoSpaceDE/>
        <w:autoSpaceDN/>
        <w:rPr>
          <w:rFonts w:ascii="Times New Roman" w:hAnsi="Times New Roman" w:cs="Times New Roman"/>
          <w:kern w:val="2"/>
        </w:rPr>
      </w:pPr>
      <w:r>
        <w:rPr>
          <w:rFonts w:hint="eastAsia" w:ascii="Times New Roman" w:hAnsi="Times New Roman" w:cs="Times New Roman"/>
          <w:kern w:val="2"/>
        </w:rPr>
        <w:t>1.1淡水养殖可投放鲢鳙等鱼类，放养密度为每亩</w:t>
      </w:r>
      <w:r>
        <w:rPr>
          <w:rFonts w:ascii="Times New Roman" w:hAnsi="Times New Roman" w:cs="Times New Roman"/>
          <w:kern w:val="2"/>
        </w:rPr>
        <w:t>30尾-50尾。可投放螺丝、贝类，放养密度为每亩50</w:t>
      </w:r>
      <w:r>
        <w:rPr>
          <w:rFonts w:hint="eastAsia" w:ascii="Times New Roman" w:hAnsi="Times New Roman" w:cs="Times New Roman"/>
          <w:kern w:val="2"/>
        </w:rPr>
        <w:t xml:space="preserve"> </w:t>
      </w:r>
      <w:r>
        <w:rPr>
          <w:rFonts w:ascii="Times New Roman" w:hAnsi="Times New Roman" w:cs="Times New Roman"/>
          <w:kern w:val="2"/>
        </w:rPr>
        <w:t>kg-100</w:t>
      </w:r>
      <w:r>
        <w:rPr>
          <w:rFonts w:hint="eastAsia" w:ascii="Times New Roman" w:hAnsi="Times New Roman" w:cs="Times New Roman"/>
          <w:kern w:val="2"/>
        </w:rPr>
        <w:t xml:space="preserve"> </w:t>
      </w:r>
      <w:r>
        <w:rPr>
          <w:rFonts w:ascii="Times New Roman" w:hAnsi="Times New Roman" w:cs="Times New Roman"/>
          <w:kern w:val="2"/>
        </w:rPr>
        <w:t>kg。</w:t>
      </w:r>
    </w:p>
    <w:p w14:paraId="66925551">
      <w:pPr>
        <w:shd w:val="clear" w:color="auto" w:fill="auto"/>
        <w:autoSpaceDE/>
        <w:autoSpaceDN/>
        <w:rPr>
          <w:rFonts w:ascii="Times New Roman" w:hAnsi="Times New Roman" w:cs="Times New Roman"/>
          <w:kern w:val="2"/>
        </w:rPr>
      </w:pPr>
      <w:bookmarkStart w:id="63" w:name="_Hlk169687649"/>
      <w:r>
        <w:rPr>
          <w:rFonts w:ascii="Times New Roman" w:hAnsi="Times New Roman" w:cs="Times New Roman"/>
          <w:kern w:val="2"/>
        </w:rPr>
        <w:t>1.2</w:t>
      </w:r>
      <w:bookmarkEnd w:id="63"/>
      <w:r>
        <w:rPr>
          <w:rFonts w:hint="eastAsia" w:ascii="Times New Roman" w:hAnsi="Times New Roman" w:cs="Times New Roman"/>
          <w:kern w:val="2"/>
        </w:rPr>
        <w:t>海水养殖鱼类可选用梭鱼、海鲈鱼等，贝类可选用文蛤、牡蛎、贻贝等。</w:t>
      </w:r>
    </w:p>
    <w:p w14:paraId="16DFE696">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ascii="Times New Roman" w:hAnsi="Times New Roman" w:cs="Times New Roman"/>
          <w:kern w:val="2"/>
        </w:rPr>
        <w:t>投加水生动物到养殖尾水的主要目的是利用它们的自然生态功能来净化水质、增加生物多样性、维持生态平衡，并减少对化学处理的依赖，从而实现环境友好和可持续的水产养殖。这些动物通过滤食、吸收营养盐和重金属，以及作为食物链中的一环，帮助改善和稳定水体环境。</w:t>
      </w:r>
    </w:p>
    <w:p w14:paraId="269DBA06">
      <w:pPr>
        <w:shd w:val="clear" w:color="auto" w:fill="auto"/>
        <w:autoSpaceDE/>
        <w:autoSpaceDN/>
        <w:rPr>
          <w:rFonts w:ascii="Times New Roman" w:hAnsi="Times New Roman" w:cs="Times New Roman"/>
          <w:kern w:val="2"/>
        </w:rPr>
      </w:pPr>
      <w:r>
        <w:rPr>
          <w:rFonts w:hint="eastAsia" w:ascii="Times New Roman" w:hAnsi="Times New Roman" w:cs="Times New Roman"/>
          <w:kern w:val="2"/>
        </w:rPr>
        <w:t>鲢、鳙鱼是中国特有的生态净水鱼类，先后有</w:t>
      </w:r>
      <w:r>
        <w:rPr>
          <w:rFonts w:ascii="Times New Roman" w:hAnsi="Times New Roman" w:cs="Times New Roman"/>
          <w:kern w:val="2"/>
        </w:rPr>
        <w:t>27个国家引进用于富营养化水体的生物净化，均收到良好的效果</w:t>
      </w:r>
      <w:r>
        <w:rPr>
          <w:rFonts w:hint="eastAsia" w:ascii="Times New Roman" w:hAnsi="Times New Roman" w:cs="Times New Roman"/>
          <w:kern w:val="2"/>
        </w:rPr>
        <w:t>（詹新生（2019））</w:t>
      </w:r>
      <w:r>
        <w:rPr>
          <w:rFonts w:ascii="Times New Roman" w:hAnsi="Times New Roman" w:cs="Times New Roman"/>
          <w:kern w:val="2"/>
        </w:rPr>
        <w:t>。李元鹏等</w:t>
      </w:r>
      <w:r>
        <w:rPr>
          <w:rFonts w:hint="eastAsia" w:ascii="Times New Roman" w:hAnsi="Times New Roman" w:cs="Times New Roman"/>
          <w:kern w:val="2"/>
        </w:rPr>
        <w:t>（2017）</w:t>
      </w:r>
      <w:r>
        <w:rPr>
          <w:rFonts w:ascii="Times New Roman" w:hAnsi="Times New Roman" w:cs="Times New Roman"/>
          <w:kern w:val="2"/>
        </w:rPr>
        <w:t>研究发现，当放养鲢、鱅比例为3:1时，水体中TP、NH</w:t>
      </w:r>
      <w:r>
        <w:rPr>
          <w:rFonts w:ascii="Times New Roman" w:hAnsi="Times New Roman" w:cs="Times New Roman"/>
          <w:kern w:val="2"/>
          <w:vertAlign w:val="subscript"/>
        </w:rPr>
        <w:t>3</w:t>
      </w:r>
      <w:r>
        <w:rPr>
          <w:rFonts w:ascii="Times New Roman" w:hAnsi="Times New Roman" w:cs="Times New Roman"/>
          <w:kern w:val="2"/>
        </w:rPr>
        <w:t>-N、TN和COD</w:t>
      </w:r>
      <w:r>
        <w:rPr>
          <w:rFonts w:ascii="Times New Roman" w:hAnsi="Times New Roman" w:cs="Times New Roman"/>
          <w:kern w:val="2"/>
          <w:vertAlign w:val="subscript"/>
        </w:rPr>
        <w:t>Mn</w:t>
      </w:r>
      <w:r>
        <w:rPr>
          <w:rFonts w:ascii="Times New Roman" w:hAnsi="Times New Roman" w:cs="Times New Roman"/>
          <w:kern w:val="2"/>
        </w:rPr>
        <w:t>的去除效应十分明显。</w:t>
      </w:r>
    </w:p>
    <w:p w14:paraId="0BF62E22">
      <w:pPr>
        <w:shd w:val="clear" w:color="auto" w:fill="auto"/>
        <w:autoSpaceDE/>
        <w:autoSpaceDN/>
        <w:rPr>
          <w:rFonts w:ascii="Times New Roman" w:hAnsi="Times New Roman" w:cs="Times New Roman"/>
          <w:kern w:val="2"/>
        </w:rPr>
      </w:pPr>
      <w:r>
        <w:rPr>
          <w:rFonts w:hint="eastAsia" w:ascii="Times New Roman" w:hAnsi="Times New Roman" w:cs="Times New Roman"/>
          <w:kern w:val="2"/>
        </w:rPr>
        <w:t>丁福山（2014）中描述梭鱼是沿海咸淡水养殖鱼类中的主要种类，对盐度的适应范围较广，</w:t>
      </w:r>
      <w:r>
        <w:rPr>
          <w:rFonts w:ascii="Times New Roman" w:hAnsi="Times New Roman" w:cs="Times New Roman"/>
          <w:kern w:val="2"/>
        </w:rPr>
        <w:t>温度适应范围为-0.7℃至35℃</w:t>
      </w:r>
      <w:r>
        <w:rPr>
          <w:rFonts w:hint="eastAsia" w:ascii="Times New Roman" w:hAnsi="Times New Roman" w:cs="Times New Roman"/>
          <w:kern w:val="2"/>
        </w:rPr>
        <w:t>，</w:t>
      </w:r>
      <w:r>
        <w:t>在山东、江苏等地养殖较多</w:t>
      </w:r>
      <w:r>
        <w:rPr>
          <w:rFonts w:hint="eastAsia" w:ascii="Times New Roman" w:hAnsi="Times New Roman" w:cs="Times New Roman"/>
          <w:kern w:val="2"/>
        </w:rPr>
        <w:t>。海鲈鱼是一种广盐性鱼类，可以在海水和淡水中生长，适应性较强。葛红星（2022）在关于《</w:t>
      </w:r>
      <w:r>
        <w:rPr>
          <w:rFonts w:ascii="Times New Roman" w:hAnsi="Times New Roman" w:cs="Times New Roman"/>
          <w:kern w:val="2"/>
        </w:rPr>
        <w:t>2016—2020年江苏省海水养殖贝类生产情况及碳汇评估</w:t>
      </w:r>
      <w:r>
        <w:rPr>
          <w:rFonts w:hint="eastAsia" w:ascii="Times New Roman" w:hAnsi="Times New Roman" w:cs="Times New Roman"/>
          <w:kern w:val="2"/>
        </w:rPr>
        <w:t>》中指出江苏省海水养殖的贝类主要包括牡蛎、蚶、贻贝、蛤和蛏等品种，选用贝类主要是因为它们能有效过滤水质、促进营养循环并具有生态修复潜力，同时作为重要的经济资源，对环境变化具有良好适应性，还能作为生物指示器监测水质状况。</w:t>
      </w:r>
    </w:p>
    <w:p w14:paraId="7E54796F">
      <w:pPr>
        <w:shd w:val="clear" w:color="auto" w:fill="auto"/>
        <w:autoSpaceDE/>
        <w:autoSpaceDN/>
        <w:rPr>
          <w:rFonts w:ascii="Times New Roman" w:hAnsi="Times New Roman" w:cs="Times New Roman"/>
          <w:kern w:val="2"/>
        </w:rPr>
      </w:pPr>
      <w:r>
        <w:rPr>
          <w:rFonts w:hint="eastAsia" w:ascii="Times New Roman" w:hAnsi="Times New Roman" w:cs="Times New Roman"/>
          <w:kern w:val="2"/>
        </w:rPr>
        <w:t>詹新生</w:t>
      </w:r>
      <w:r>
        <w:rPr>
          <w:rFonts w:ascii="Times New Roman" w:hAnsi="Times New Roman" w:cs="Times New Roman"/>
          <w:kern w:val="2"/>
        </w:rPr>
        <w:t>, 王乐平. 滤食性鱼类对大水面水体的净化作用分析[J]. 河南水产, 2019(4): 37-39.</w:t>
      </w:r>
    </w:p>
    <w:p w14:paraId="09C3822D">
      <w:pPr>
        <w:shd w:val="clear" w:color="auto" w:fill="auto"/>
        <w:autoSpaceDE/>
        <w:autoSpaceDN/>
        <w:rPr>
          <w:rFonts w:ascii="Times New Roman" w:hAnsi="Times New Roman" w:cs="Times New Roman"/>
          <w:kern w:val="2"/>
        </w:rPr>
      </w:pPr>
      <w:r>
        <w:rPr>
          <w:rFonts w:hint="eastAsia" w:ascii="Times New Roman" w:hAnsi="Times New Roman" w:cs="Times New Roman"/>
          <w:kern w:val="2"/>
        </w:rPr>
        <w:t>李元鹏</w:t>
      </w:r>
      <w:r>
        <w:rPr>
          <w:rFonts w:ascii="Times New Roman" w:hAnsi="Times New Roman" w:cs="Times New Roman"/>
          <w:kern w:val="2"/>
        </w:rPr>
        <w:t>, 于惠莉, 顾学林, 等. 鲢鳙鱼原位修复水库水质的试验[J]. 净水技术, 2017, 36(10): 52-56.</w:t>
      </w:r>
    </w:p>
    <w:p w14:paraId="2C65ACB9">
      <w:pPr>
        <w:shd w:val="clear" w:color="auto" w:fill="auto"/>
        <w:autoSpaceDE/>
        <w:autoSpaceDN/>
        <w:rPr>
          <w:rFonts w:ascii="Times New Roman" w:hAnsi="Times New Roman" w:cs="Times New Roman"/>
          <w:kern w:val="2"/>
        </w:rPr>
      </w:pPr>
      <w:r>
        <w:rPr>
          <w:rFonts w:ascii="Times New Roman" w:hAnsi="Times New Roman" w:cs="Times New Roman"/>
          <w:kern w:val="2"/>
        </w:rPr>
        <w:t>丁福红,毛守康,雷霁霖,等.我国植物食性海水鱼类养殖发展前景[J].海洋科学, 2014(11):7.</w:t>
      </w:r>
    </w:p>
    <w:p w14:paraId="53A00DC5">
      <w:pPr>
        <w:shd w:val="clear" w:color="auto" w:fill="auto"/>
        <w:autoSpaceDE/>
        <w:autoSpaceDN/>
        <w:rPr>
          <w:rFonts w:ascii="Times New Roman" w:hAnsi="Times New Roman" w:cs="Times New Roman"/>
          <w:kern w:val="2"/>
        </w:rPr>
      </w:pPr>
      <w:r>
        <w:rPr>
          <w:rFonts w:ascii="Times New Roman" w:hAnsi="Times New Roman" w:cs="Times New Roman"/>
          <w:kern w:val="2"/>
        </w:rPr>
        <w:t>葛红星,赵杰,董志国.2016—2020年江苏省海水养殖贝类生产情况及碳汇评估[J].江苏海洋大学学报：自然科学版, 2022(002):031.</w:t>
      </w:r>
    </w:p>
    <w:p w14:paraId="3E3D333B">
      <w:pPr>
        <w:shd w:val="clear" w:color="auto" w:fill="auto"/>
        <w:autoSpaceDE/>
        <w:autoSpaceDN/>
        <w:ind w:firstLine="482"/>
        <w:rPr>
          <w:rFonts w:ascii="Times New Roman" w:hAnsi="Times New Roman" w:cs="Times New Roman"/>
          <w:b/>
          <w:bCs/>
          <w:kern w:val="2"/>
        </w:rPr>
      </w:pPr>
      <w:r>
        <w:rPr>
          <w:rFonts w:hint="eastAsia" w:ascii="Times New Roman" w:hAnsi="Times New Roman" w:cs="Times New Roman"/>
          <w:b/>
          <w:bCs/>
          <w:kern w:val="2"/>
        </w:rPr>
        <w:t>（11）微生物</w:t>
      </w:r>
    </w:p>
    <w:p w14:paraId="4CE33127">
      <w:pPr>
        <w:shd w:val="clear" w:color="auto" w:fill="auto"/>
        <w:autoSpaceDE/>
        <w:autoSpaceDN/>
        <w:rPr>
          <w:rFonts w:ascii="Times New Roman" w:hAnsi="Times New Roman" w:cs="Times New Roman"/>
          <w:kern w:val="2"/>
        </w:rPr>
      </w:pPr>
      <w:r>
        <w:rPr>
          <w:rFonts w:hint="eastAsia" w:ascii="Times New Roman" w:hAnsi="Times New Roman" w:cs="Times New Roman"/>
          <w:kern w:val="2"/>
        </w:rPr>
        <w:t>1.1微生物选用从养殖区水域中经选择性富集、驯化培养以及分离纯化等步骤，筛选出的具有高效降解能力的土著微生物，具有强适应性、高稳定性和高安全性。</w:t>
      </w:r>
    </w:p>
    <w:p w14:paraId="42E19363">
      <w:pPr>
        <w:shd w:val="clear" w:color="auto" w:fill="auto"/>
        <w:autoSpaceDE/>
        <w:autoSpaceDN/>
        <w:rPr>
          <w:rFonts w:ascii="Times New Roman" w:hAnsi="Times New Roman" w:cs="Times New Roman"/>
          <w:kern w:val="2"/>
        </w:rPr>
      </w:pPr>
      <w:r>
        <w:rPr>
          <w:rFonts w:ascii="Times New Roman" w:hAnsi="Times New Roman" w:cs="Times New Roman"/>
          <w:kern w:val="2"/>
        </w:rPr>
        <w:t>1.2</w:t>
      </w:r>
      <w:r>
        <w:rPr>
          <w:rFonts w:hint="eastAsia" w:ascii="Times New Roman" w:hAnsi="Times New Roman" w:cs="Times New Roman"/>
          <w:kern w:val="2"/>
        </w:rPr>
        <w:t>根据尾水水质指标选用不同的功能性微生物：含碳类污染物，可选用枯草芽孢杆菌、解淀粉芽孢杆菌等；含氮类污染物，可选用硝化杆菌、鞘氨醇单胞菌等；含磷类污染物，可选用巨大芽孢杆菌、不动杆菌等；含高浓度抗生素尾水，可选用短小芽孢杆菌、假单胞菌等；海水养殖尾水，可选用海水芽孢杆菌、盐水球菌等；低温环境下，可选用蜡样芽孢杆菌、耐冷草假单胞菌等。</w:t>
      </w:r>
    </w:p>
    <w:p w14:paraId="62E01E38">
      <w:pPr>
        <w:shd w:val="clear" w:color="auto" w:fill="auto"/>
        <w:autoSpaceDE/>
        <w:autoSpaceDN/>
        <w:rPr>
          <w:rFonts w:ascii="Times New Roman" w:hAnsi="Times New Roman" w:cs="Times New Roman"/>
          <w:kern w:val="2"/>
        </w:rPr>
      </w:pPr>
      <w:r>
        <w:rPr>
          <w:rFonts w:hint="eastAsia" w:ascii="Times New Roman" w:hAnsi="Times New Roman" w:cs="Times New Roman"/>
          <w:kern w:val="2"/>
        </w:rPr>
        <w:t>1.3微生物的选用应根据具体水质情况和处理目标进行合理搭配和使用。</w:t>
      </w:r>
    </w:p>
    <w:p w14:paraId="4AF441B4">
      <w:pPr>
        <w:shd w:val="clear" w:color="auto" w:fill="auto"/>
        <w:autoSpaceDE/>
        <w:autoSpaceDN/>
        <w:rPr>
          <w:rFonts w:ascii="Times New Roman" w:hAnsi="Times New Roman" w:cs="Times New Roman"/>
          <w:kern w:val="2"/>
        </w:rPr>
      </w:pPr>
      <w:r>
        <w:rPr>
          <w:rFonts w:hint="eastAsia" w:ascii="Times New Roman" w:hAnsi="Times New Roman" w:cs="Times New Roman"/>
          <w:kern w:val="2"/>
        </w:rPr>
        <w:t>1.4所选用的功能性微生物应在相应的区域进行投加。</w:t>
      </w:r>
    </w:p>
    <w:p w14:paraId="17897DCB">
      <w:pPr>
        <w:shd w:val="clear" w:color="auto" w:fill="auto"/>
        <w:autoSpaceDE/>
        <w:autoSpaceDN/>
        <w:ind w:firstLine="482"/>
        <w:rPr>
          <w:rFonts w:ascii="Times New Roman" w:hAnsi="Times New Roman" w:cs="Times New Roman"/>
          <w:kern w:val="2"/>
        </w:rPr>
      </w:pPr>
      <w:r>
        <w:rPr>
          <w:rFonts w:ascii="Times New Roman" w:hAnsi="Times New Roman" w:cs="Times New Roman"/>
          <w:b/>
          <w:bCs/>
          <w:kern w:val="2"/>
        </w:rPr>
        <w:t>编写依据：</w:t>
      </w:r>
      <w:r>
        <w:rPr>
          <w:rFonts w:hint="eastAsia" w:ascii="Times New Roman" w:hAnsi="Times New Roman" w:cs="Times New Roman"/>
          <w:kern w:val="2"/>
        </w:rPr>
        <w:t>养殖尾水处理中选用土著微生物的原因在于它们已经适应了当地的环境条件，包括水质特性和环境因素，因而具有较强的环境适应性和生态平衡性。通过选择性富集、驯化培养以及分离纯化等步骤，可以从中筛选出对特定污染物具有高效降解能力的微生物，这些微生物不仅能够提供稳定和持续的污染物去除效果，而且成本效益高，有助于增强整个处理系统的鲁棒性。此外，使用土著微生物还能避免引入外来物种可能带来的生态风险，符合生态工程和生物修复的相关法规和指导原则，确保了尾水处理的安全性和有效性。</w:t>
      </w:r>
    </w:p>
    <w:p w14:paraId="10ABA1B3">
      <w:pPr>
        <w:shd w:val="clear" w:color="auto" w:fill="auto"/>
        <w:ind w:firstLineChars="0"/>
        <w:rPr>
          <w:rFonts w:hint="eastAsia"/>
          <w:kern w:val="2"/>
        </w:rPr>
      </w:pPr>
      <w:r>
        <w:rPr>
          <w:rFonts w:hint="eastAsia" w:ascii="Times New Roman" w:hAnsi="Times New Roman" w:cs="Times New Roman"/>
          <w:kern w:val="2"/>
        </w:rPr>
        <w:t>根据尾水水质指标选用不同的功能性微生物。枯草芽孢杆菌和解淀粉芽孢杆菌等能够分解有机物质，将有机物转化为无机物，降低水中的生化需氧量（</w:t>
      </w:r>
      <w:r>
        <w:rPr>
          <w:rFonts w:ascii="Times New Roman" w:hAnsi="Times New Roman" w:cs="Times New Roman"/>
          <w:kern w:val="2"/>
        </w:rPr>
        <w:t>BOD</w:t>
      </w:r>
      <w:r>
        <w:rPr>
          <w:rFonts w:hint="eastAsia" w:ascii="Times New Roman" w:hAnsi="Times New Roman" w:cs="Times New Roman"/>
          <w:kern w:val="2"/>
        </w:rPr>
        <w:t>）</w:t>
      </w:r>
      <w:r>
        <w:rPr>
          <w:rFonts w:ascii="Times New Roman" w:hAnsi="Times New Roman" w:cs="Times New Roman"/>
          <w:kern w:val="2"/>
        </w:rPr>
        <w:t>和化学需氧量</w:t>
      </w:r>
      <w:r>
        <w:rPr>
          <w:rFonts w:hint="eastAsia" w:ascii="Times New Roman" w:hAnsi="Times New Roman" w:cs="Times New Roman"/>
          <w:kern w:val="2"/>
        </w:rPr>
        <w:t>（C</w:t>
      </w:r>
      <w:r>
        <w:rPr>
          <w:rFonts w:ascii="Times New Roman" w:hAnsi="Times New Roman" w:cs="Times New Roman"/>
          <w:kern w:val="2"/>
        </w:rPr>
        <w:t>OD）</w:t>
      </w:r>
      <w:r>
        <w:rPr>
          <w:rFonts w:hint="eastAsia" w:ascii="Times New Roman" w:hAnsi="Times New Roman" w:cs="Times New Roman"/>
          <w:kern w:val="2"/>
        </w:rPr>
        <w:t>；硝化杆菌和鞘氨醇单胞菌等能够参与氮的转化过程，将氨氮转化为硝酸盐，进而通过反硝化作用将硝酸盐转化为氮气释放到大气中，从而减少水中的氮含量；巨大芽孢杆菌和不动杆菌等能够吸收和转化水中的磷，减少磷的含量，防止水体富营养化；</w:t>
      </w:r>
      <w:r>
        <w:rPr>
          <w:kern w:val="2"/>
        </w:rPr>
        <w:t>短小芽孢杆菌和假单胞菌等具有抗药性，能够在抗生素存在的环境中生存并分解有机污染物</w:t>
      </w:r>
      <w:r>
        <w:rPr>
          <w:rFonts w:hint="eastAsia"/>
          <w:kern w:val="2"/>
        </w:rPr>
        <w:t>；</w:t>
      </w:r>
      <w:r>
        <w:rPr>
          <w:rFonts w:ascii="Times New Roman" w:hAnsi="Times New Roman" w:cs="Times New Roman"/>
          <w:kern w:val="2"/>
        </w:rPr>
        <w:t>海水芽孢杆菌和盐水球菌等能够适应高盐环境，有效处理海水养殖过程中产生的尾水</w:t>
      </w:r>
      <w:r>
        <w:rPr>
          <w:rFonts w:hint="eastAsia" w:ascii="Times New Roman" w:hAnsi="Times New Roman" w:cs="Times New Roman"/>
          <w:kern w:val="2"/>
        </w:rPr>
        <w:t>；</w:t>
      </w:r>
      <w:r>
        <w:rPr>
          <w:rFonts w:ascii="Times New Roman" w:hAnsi="Times New Roman" w:cs="Times New Roman"/>
          <w:kern w:val="2"/>
        </w:rPr>
        <w:t>蜡样芽孢杆菌和耐冷草假单胞菌等能够在低温条件下生存并发挥作用，适合在低温环境下使用。</w:t>
      </w:r>
    </w:p>
    <w:p w14:paraId="23671869">
      <w:pPr>
        <w:pStyle w:val="22"/>
        <w:spacing w:line="360" w:lineRule="auto"/>
        <w:rPr>
          <w:rFonts w:ascii="Times New Roman" w:hAnsi="Times New Roman" w:eastAsia="黑体"/>
          <w:b w:val="0"/>
          <w:bCs w:val="0"/>
          <w:sz w:val="24"/>
          <w:szCs w:val="28"/>
        </w:rPr>
      </w:pPr>
      <w:bookmarkStart w:id="64" w:name="_Toc170888059"/>
      <w:bookmarkStart w:id="65" w:name="_Toc186557559"/>
      <w:r>
        <w:rPr>
          <w:rFonts w:hint="eastAsia" w:ascii="Times New Roman" w:hAnsi="Times New Roman" w:eastAsia="黑体"/>
          <w:b w:val="0"/>
          <w:bCs w:val="0"/>
          <w:sz w:val="24"/>
          <w:szCs w:val="28"/>
        </w:rPr>
        <w:t>5.6 环境管理措施</w:t>
      </w:r>
      <w:bookmarkEnd w:id="64"/>
      <w:bookmarkEnd w:id="65"/>
    </w:p>
    <w:p w14:paraId="45203974">
      <w:pPr>
        <w:pStyle w:val="18"/>
        <w:spacing w:line="360" w:lineRule="auto"/>
        <w:ind w:firstLine="480" w:firstLineChars="200"/>
        <w:rPr>
          <w:rFonts w:ascii="Times New Roman" w:hAnsi="Times New Roman" w:eastAsia="宋体" w:cs="Times New Roman"/>
          <w:color w:val="auto"/>
          <w:kern w:val="2"/>
          <w:sz w:val="24"/>
        </w:rPr>
      </w:pPr>
      <w:r>
        <w:rPr>
          <w:rFonts w:hint="eastAsia" w:ascii="Times New Roman" w:hAnsi="Times New Roman" w:eastAsia="宋体" w:cs="Times New Roman"/>
          <w:color w:val="auto"/>
          <w:kern w:val="2"/>
          <w:sz w:val="24"/>
        </w:rPr>
        <w:t>水产养殖业的排放管理相对较晚起步，监管难度较大，这一直是该行业污染防治面临的主要难题。针对这一问题，需要对水产养殖单位实施一些基础性的管理措施。特别是对于那些遵循</w:t>
      </w:r>
      <w:r>
        <w:rPr>
          <w:rFonts w:ascii="Times New Roman" w:hAnsi="Times New Roman" w:eastAsia="宋体" w:cs="Times New Roman"/>
          <w:color w:val="auto"/>
          <w:kern w:val="2"/>
          <w:sz w:val="24"/>
        </w:rPr>
        <w:t>DB32/4043标准的封闭型水产养殖单位，应当借鉴其他固定污染源的管理经验，推行排污口的标准化管理，并鼓励这些单位自发进行环境监测和记录工作。此外，鉴于清塘过程中排放的水质含有较高浓度的污染物，容易导致突发性污染，因此对清塘活动提出了报告制度，以便于地方环保部门进行有效监管。</w:t>
      </w:r>
    </w:p>
    <w:p w14:paraId="0048F1A9">
      <w:pPr>
        <w:pStyle w:val="18"/>
        <w:spacing w:line="360" w:lineRule="auto"/>
        <w:ind w:firstLine="480" w:firstLineChars="200"/>
        <w:rPr>
          <w:rFonts w:ascii="Times New Roman" w:hAnsi="Times New Roman" w:eastAsia="宋体" w:cs="Times New Roman"/>
          <w:color w:val="auto"/>
          <w:kern w:val="2"/>
          <w:sz w:val="24"/>
        </w:rPr>
      </w:pPr>
      <w:r>
        <w:rPr>
          <w:rFonts w:hint="eastAsia" w:ascii="Times New Roman" w:hAnsi="Times New Roman" w:eastAsia="宋体" w:cs="Times New Roman"/>
          <w:color w:val="auto"/>
          <w:kern w:val="2"/>
          <w:sz w:val="24"/>
        </w:rPr>
        <w:t>首先，对于遵循</w:t>
      </w:r>
      <w:r>
        <w:rPr>
          <w:rFonts w:ascii="Times New Roman" w:hAnsi="Times New Roman" w:eastAsia="宋体" w:cs="Times New Roman"/>
          <w:color w:val="auto"/>
          <w:kern w:val="2"/>
          <w:sz w:val="24"/>
        </w:rPr>
        <w:t>DB32/4043标准的封闭型水产养殖单位，应依据HJ 91.1规范在废水排放口设置标准化的采样点和测试平台，并根据GB 15562.1以及相关通知要求，在排放口附近显眼位置设置并长期保留废水排放口标识牌。</w:t>
      </w:r>
    </w:p>
    <w:p w14:paraId="096B7DB2">
      <w:pPr>
        <w:pStyle w:val="18"/>
        <w:spacing w:line="360" w:lineRule="auto"/>
        <w:ind w:firstLine="480" w:firstLineChars="200"/>
        <w:rPr>
          <w:rFonts w:ascii="Times New Roman" w:hAnsi="Times New Roman" w:eastAsia="宋体" w:cs="Times New Roman"/>
          <w:color w:val="auto"/>
          <w:kern w:val="2"/>
          <w:sz w:val="24"/>
        </w:rPr>
      </w:pPr>
      <w:r>
        <w:rPr>
          <w:rFonts w:hint="eastAsia" w:ascii="Times New Roman" w:hAnsi="Times New Roman" w:eastAsia="宋体" w:cs="Times New Roman"/>
          <w:color w:val="auto"/>
          <w:kern w:val="2"/>
          <w:sz w:val="24"/>
        </w:rPr>
        <w:t>目前，关于海水养殖尾水排放的术语存在多种表述，如</w:t>
      </w:r>
      <w:r>
        <w:rPr>
          <w:rFonts w:ascii="Times New Roman" w:hAnsi="Times New Roman" w:eastAsia="宋体" w:cs="Times New Roman"/>
          <w:color w:val="auto"/>
          <w:kern w:val="2"/>
          <w:sz w:val="24"/>
        </w:rPr>
        <w:t>"排放口"、"排污口"等。为了执行《海洋环境保护法》第三十条的规定，并结合生态环境部对入海排污口监督管理工作的规划，文件中对水产养殖排污口的分类统一采用"排污口"这一术语。</w:t>
      </w:r>
    </w:p>
    <w:p w14:paraId="7BC1C9F6">
      <w:pPr>
        <w:pStyle w:val="18"/>
        <w:spacing w:line="360" w:lineRule="auto"/>
        <w:ind w:firstLine="480" w:firstLineChars="200"/>
        <w:rPr>
          <w:rFonts w:ascii="Times New Roman" w:hAnsi="Times New Roman" w:eastAsia="宋体" w:cs="Times New Roman"/>
          <w:color w:val="auto"/>
          <w:kern w:val="2"/>
          <w:sz w:val="24"/>
        </w:rPr>
      </w:pPr>
      <w:r>
        <w:rPr>
          <w:rFonts w:hint="eastAsia" w:ascii="Times New Roman" w:hAnsi="Times New Roman" w:eastAsia="宋体" w:cs="Times New Roman"/>
          <w:color w:val="auto"/>
          <w:kern w:val="2"/>
          <w:sz w:val="24"/>
        </w:rPr>
        <w:t>其次，建议适用</w:t>
      </w:r>
      <w:r>
        <w:rPr>
          <w:rFonts w:ascii="Times New Roman" w:hAnsi="Times New Roman" w:eastAsia="宋体" w:cs="Times New Roman"/>
          <w:color w:val="auto"/>
          <w:kern w:val="2"/>
          <w:sz w:val="24"/>
        </w:rPr>
        <w:t>DB32/4043标准的封闭型水产养殖单位对排放到环境水体的废水进行自主监测，记录污水处理设施的运行和维护情况，以及尾水排放的水量和污染物浓度等信息，并妥善保存这些记录。</w:t>
      </w:r>
    </w:p>
    <w:p w14:paraId="546DE8B4">
      <w:pPr>
        <w:pStyle w:val="18"/>
        <w:spacing w:line="360" w:lineRule="auto"/>
        <w:ind w:firstLine="480" w:firstLineChars="200"/>
        <w:rPr>
          <w:rFonts w:ascii="Times New Roman" w:hAnsi="Times New Roman" w:eastAsia="宋体" w:cs="Times New Roman"/>
          <w:color w:val="auto"/>
          <w:kern w:val="2"/>
          <w:sz w:val="24"/>
        </w:rPr>
      </w:pPr>
      <w:r>
        <w:rPr>
          <w:rFonts w:hint="eastAsia" w:ascii="Times New Roman" w:hAnsi="Times New Roman" w:eastAsia="宋体" w:cs="Times New Roman"/>
          <w:color w:val="auto"/>
          <w:kern w:val="2"/>
          <w:sz w:val="24"/>
        </w:rPr>
        <w:t>虽然目前水产养殖单位尚未被纳入排污许可管理制度，因此不强制要求其进行自主监测。然而，已有试点工作在探索将水产养殖单位纳入排污许可管理。自主监测有助于养殖单位更好地了解自身的污染物产生和排放情况，从而自我证明其合规性。因此，在尾水监测方面，考虑到养殖经营者和地方环保机构的实际情况，鼓励工厂化和池塘养殖单位开展尾水的自主监测工作。</w:t>
      </w:r>
    </w:p>
    <w:p w14:paraId="1785262C">
      <w:pPr>
        <w:pStyle w:val="17"/>
        <w:spacing w:line="360" w:lineRule="auto"/>
        <w:rPr>
          <w:rFonts w:ascii="Times New Roman" w:hAnsi="Times New Roman" w:eastAsia="黑体"/>
          <w:b w:val="0"/>
          <w:bCs w:val="0"/>
          <w:sz w:val="24"/>
          <w:szCs w:val="36"/>
        </w:rPr>
      </w:pPr>
      <w:bookmarkStart w:id="66" w:name="_Toc170888060"/>
      <w:bookmarkStart w:id="67" w:name="_Toc186557560"/>
      <w:r>
        <w:rPr>
          <w:rFonts w:hint="eastAsia" w:ascii="Times New Roman" w:hAnsi="Times New Roman" w:eastAsia="黑体"/>
          <w:b w:val="0"/>
          <w:bCs w:val="0"/>
          <w:sz w:val="24"/>
          <w:szCs w:val="36"/>
        </w:rPr>
        <w:t>6 国内外相关标准研究</w:t>
      </w:r>
      <w:bookmarkEnd w:id="66"/>
      <w:bookmarkEnd w:id="67"/>
    </w:p>
    <w:p w14:paraId="6A162539">
      <w:pPr>
        <w:pStyle w:val="22"/>
        <w:spacing w:line="360" w:lineRule="auto"/>
        <w:rPr>
          <w:rFonts w:ascii="Times New Roman" w:hAnsi="Times New Roman" w:eastAsia="黑体"/>
          <w:b w:val="0"/>
          <w:bCs w:val="0"/>
          <w:sz w:val="24"/>
          <w:szCs w:val="28"/>
        </w:rPr>
      </w:pPr>
      <w:bookmarkStart w:id="68" w:name="_Toc144305325"/>
      <w:bookmarkStart w:id="69" w:name="_Toc186557561"/>
      <w:bookmarkStart w:id="70" w:name="_Toc170888061"/>
      <w:r>
        <w:rPr>
          <w:rFonts w:hint="eastAsia" w:ascii="Times New Roman" w:hAnsi="Times New Roman" w:eastAsia="黑体"/>
          <w:b w:val="0"/>
          <w:bCs w:val="0"/>
          <w:sz w:val="24"/>
          <w:szCs w:val="28"/>
        </w:rPr>
        <w:t>6</w:t>
      </w:r>
      <w:r>
        <w:rPr>
          <w:rFonts w:ascii="Times New Roman" w:hAnsi="Times New Roman" w:eastAsia="黑体"/>
          <w:b w:val="0"/>
          <w:bCs w:val="0"/>
          <w:sz w:val="24"/>
          <w:szCs w:val="28"/>
        </w:rPr>
        <w:t>.1</w:t>
      </w:r>
      <w:r>
        <w:rPr>
          <w:rFonts w:hint="eastAsia" w:ascii="Times New Roman" w:hAnsi="Times New Roman" w:eastAsia="黑体"/>
          <w:b w:val="0"/>
          <w:bCs w:val="0"/>
          <w:sz w:val="24"/>
          <w:szCs w:val="28"/>
        </w:rPr>
        <w:t xml:space="preserve"> 国外相关</w:t>
      </w:r>
      <w:bookmarkEnd w:id="68"/>
      <w:r>
        <w:rPr>
          <w:rFonts w:hint="eastAsia" w:ascii="Times New Roman" w:hAnsi="Times New Roman" w:eastAsia="黑体"/>
          <w:b w:val="0"/>
          <w:bCs w:val="0"/>
          <w:sz w:val="24"/>
          <w:szCs w:val="28"/>
        </w:rPr>
        <w:t>标准概括</w:t>
      </w:r>
      <w:bookmarkEnd w:id="69"/>
      <w:bookmarkEnd w:id="70"/>
    </w:p>
    <w:p w14:paraId="6E9EE13B">
      <w:pPr>
        <w:shd w:val="clear" w:color="auto" w:fill="auto"/>
        <w:autoSpaceDE/>
        <w:autoSpaceDN/>
        <w:rPr>
          <w:rFonts w:ascii="Times New Roman" w:hAnsi="Times New Roman" w:cs="Times New Roman"/>
          <w:kern w:val="2"/>
        </w:rPr>
      </w:pPr>
      <w:r>
        <w:rPr>
          <w:rFonts w:hint="eastAsia" w:ascii="Times New Roman" w:hAnsi="Times New Roman" w:cs="Times New Roman"/>
          <w:kern w:val="2"/>
        </w:rPr>
        <w:t>在国际上，多个国家已制定了一系列养殖尾水管理标准与政策，旨在减少养殖活动对水域环境的负面影响。美国环保署（</w:t>
      </w:r>
      <w:r>
        <w:rPr>
          <w:rFonts w:ascii="Times New Roman" w:hAnsi="Times New Roman" w:cs="Times New Roman"/>
          <w:kern w:val="2"/>
        </w:rPr>
        <w:t>USEPA）倡导实施最佳管理实践（BMPs），</w:t>
      </w:r>
      <w:r>
        <w:rPr>
          <w:rFonts w:hint="eastAsia" w:ascii="Times New Roman" w:hAnsi="Times New Roman" w:cs="Times New Roman"/>
          <w:kern w:val="2"/>
        </w:rPr>
        <w:t>推广的最佳管理实践（</w:t>
      </w:r>
      <w:r>
        <w:rPr>
          <w:rFonts w:ascii="Times New Roman" w:hAnsi="Times New Roman" w:cs="Times New Roman"/>
          <w:kern w:val="2"/>
        </w:rPr>
        <w:t>BMPs）不仅涵盖了养殖尾水的直接排放标准，更强调从养殖源头上减少污染物的产生。通过评估、选择和实施一系列工程和非工程方法，BMPs有效地减少了养殖尾水对环境的负面影响。挪威则通过严格的许可证制度和排放总量评估来管理养殖尾水，确保养殖活动符合环境要求。这些国际标准和政策体现了从源头控制到末端治理的全方位管理思路，不仅关注尾水的直接排放标准，还强调养殖过程的监管和技术的创新。</w:t>
      </w:r>
      <w:r>
        <w:rPr>
          <w:rFonts w:hint="eastAsia" w:ascii="Times New Roman" w:hAnsi="Times New Roman" w:cs="Times New Roman"/>
          <w:kern w:val="2"/>
        </w:rPr>
        <w:t>日本通过制定《水产养殖管理标准》，对尾水的化学需氧量和悬浮物等关键指标设定了明确的限值，并建立了完善的监管体系，定期对尾水质量进行监测和评估，对不达标的养殖场进行处罚和整改。同时，日本鼓励养殖场采用生物处理技术等环保措施来净化尾水，并提供技术指导和培训。韩国则通过立法管理，明确养殖场的设立条件、养殖密度和尾水排放标准等要求，对违法排放尾水的养殖场进行严厉处罚。为了鼓励养殖场采用环保技术，韩国政府提供了财政补贴和税收优惠等支持措施，并投入资金研发新的养殖尾水治理技术和设备。欧盟则采取了一系列综合政策，包括水资源保护、水污染治理和水生态修复等，以全面控制养殖尾水污染。欧盟制定了统一的养殖尾水排放标准，要求各成员国严格执行，并通过监管合作机制，共同打击违法排放尾水等行为。</w:t>
      </w:r>
    </w:p>
    <w:p w14:paraId="6033995B">
      <w:pPr>
        <w:shd w:val="clear" w:color="auto" w:fill="auto"/>
        <w:autoSpaceDE/>
        <w:autoSpaceDN/>
        <w:rPr>
          <w:rFonts w:ascii="Times New Roman" w:hAnsi="Times New Roman" w:cs="Times New Roman"/>
          <w:kern w:val="2"/>
        </w:rPr>
      </w:pPr>
      <w:r>
        <w:rPr>
          <w:rFonts w:ascii="Times New Roman" w:hAnsi="Times New Roman" w:cs="Times New Roman"/>
          <w:kern w:val="2"/>
        </w:rPr>
        <w:t>通过综合管理和先进技术的应用，这些国家成功实现了养殖尾水的规范排放，为养殖业的可</w:t>
      </w:r>
      <w:r>
        <w:rPr>
          <w:rFonts w:hint="eastAsia" w:ascii="Times New Roman" w:hAnsi="Times New Roman" w:cs="Times New Roman"/>
          <w:kern w:val="2"/>
        </w:rPr>
        <w:t>持续发展提供了有力保障。这些国际经验对于我国进一步完善养殖尾水管理政策和标准具有重要的借鉴意义。</w:t>
      </w:r>
    </w:p>
    <w:p w14:paraId="368F1AE4">
      <w:pPr>
        <w:pStyle w:val="22"/>
        <w:spacing w:line="360" w:lineRule="auto"/>
        <w:rPr>
          <w:rFonts w:ascii="Times New Roman" w:hAnsi="Times New Roman" w:eastAsia="黑体"/>
          <w:b w:val="0"/>
          <w:bCs w:val="0"/>
          <w:sz w:val="24"/>
          <w:szCs w:val="28"/>
        </w:rPr>
      </w:pPr>
      <w:bookmarkStart w:id="71" w:name="_Toc170888062"/>
      <w:bookmarkStart w:id="72" w:name="_Toc186557562"/>
      <w:bookmarkStart w:id="73" w:name="_Toc144305326"/>
      <w:r>
        <w:rPr>
          <w:rFonts w:hint="eastAsia" w:ascii="Times New Roman" w:hAnsi="Times New Roman" w:eastAsia="黑体"/>
          <w:b w:val="0"/>
          <w:bCs w:val="0"/>
          <w:sz w:val="24"/>
          <w:szCs w:val="28"/>
        </w:rPr>
        <w:t>6</w:t>
      </w:r>
      <w:r>
        <w:rPr>
          <w:rFonts w:ascii="Times New Roman" w:hAnsi="Times New Roman" w:eastAsia="黑体"/>
          <w:b w:val="0"/>
          <w:bCs w:val="0"/>
          <w:sz w:val="24"/>
          <w:szCs w:val="28"/>
        </w:rPr>
        <w:t>.2</w:t>
      </w:r>
      <w:r>
        <w:rPr>
          <w:rFonts w:hint="eastAsia" w:ascii="Times New Roman" w:hAnsi="Times New Roman" w:eastAsia="黑体"/>
          <w:b w:val="0"/>
          <w:bCs w:val="0"/>
          <w:sz w:val="24"/>
          <w:szCs w:val="28"/>
        </w:rPr>
        <w:t xml:space="preserve"> 本标准与国内同类标准的对比</w:t>
      </w:r>
      <w:bookmarkEnd w:id="71"/>
      <w:bookmarkEnd w:id="72"/>
      <w:bookmarkEnd w:id="73"/>
    </w:p>
    <w:p w14:paraId="2B0766B6">
      <w:pPr>
        <w:shd w:val="clear" w:color="auto" w:fill="auto"/>
        <w:autoSpaceDE/>
        <w:autoSpaceDN/>
        <w:rPr>
          <w:rFonts w:ascii="Times New Roman" w:hAnsi="Times New Roman" w:eastAsia="黑体" w:cs="Times New Roman"/>
          <w:kern w:val="2"/>
        </w:rPr>
      </w:pPr>
      <w:r>
        <w:rPr>
          <w:rFonts w:hint="eastAsia" w:ascii="Times New Roman" w:hAnsi="Times New Roman" w:eastAsia="黑体" w:cs="Times New Roman"/>
          <w:kern w:val="2"/>
        </w:rPr>
        <w:t>（1）</w:t>
      </w:r>
      <w:r>
        <w:rPr>
          <w:rFonts w:ascii="Times New Roman" w:hAnsi="Times New Roman" w:eastAsia="黑体" w:cs="Times New Roman"/>
          <w:kern w:val="2"/>
        </w:rPr>
        <w:t>国内相关</w:t>
      </w:r>
      <w:r>
        <w:rPr>
          <w:rFonts w:hint="eastAsia" w:ascii="Times New Roman" w:hAnsi="Times New Roman" w:eastAsia="黑体" w:cs="Times New Roman"/>
          <w:kern w:val="2"/>
        </w:rPr>
        <w:t>法律法规</w:t>
      </w:r>
    </w:p>
    <w:p w14:paraId="55FC0B57">
      <w:pPr>
        <w:shd w:val="clear" w:color="auto" w:fill="auto"/>
        <w:autoSpaceDE/>
        <w:autoSpaceDN/>
        <w:rPr>
          <w:rFonts w:ascii="Times New Roman" w:hAnsi="Times New Roman" w:cs="Times New Roman"/>
          <w:kern w:val="2"/>
        </w:rPr>
      </w:pPr>
      <w:r>
        <w:rPr>
          <w:rFonts w:hint="eastAsia" w:ascii="Times New Roman" w:hAnsi="Times New Roman" w:cs="Times New Roman"/>
          <w:kern w:val="2"/>
        </w:rPr>
        <w:t>在国内，与水产养殖尾水管理紧密相关的法律法规涵盖了多个方面，包括《中华人民共和国环境保护法》、《中华人民共和国水污染防治法》、《中华人民共和国海洋环境保护法》、《中华人民共和国长江保护法》以及《中华人民共和国渔业法》等基础性法律。这些法律为水产养殖尾水的处理与排放提供了总体的法律框架和原则。</w:t>
      </w:r>
    </w:p>
    <w:p w14:paraId="414BDD6D">
      <w:pPr>
        <w:shd w:val="clear" w:color="auto" w:fill="auto"/>
        <w:autoSpaceDE/>
        <w:autoSpaceDN/>
        <w:rPr>
          <w:rFonts w:ascii="Times New Roman" w:hAnsi="Times New Roman" w:cs="Times New Roman"/>
          <w:kern w:val="2"/>
        </w:rPr>
      </w:pPr>
      <w:r>
        <w:rPr>
          <w:rFonts w:hint="eastAsia" w:ascii="Times New Roman" w:hAnsi="Times New Roman" w:cs="Times New Roman"/>
          <w:kern w:val="2"/>
        </w:rPr>
        <w:t>此外，为了推动水产养殖业绿色发展，农业农村部还发布了《农业农村部关于加快推进水产养殖业绿色发展的若干意见》，其中强调了尾水处理和养殖环境管理的重要性。同时，生态环境部与农业农村部联合发布的《生态环境部、农业农村部关于加强海水养殖生态环境监管的通知》也针对海水养殖尾水的生态环境监管提出了具体要求。</w:t>
      </w:r>
    </w:p>
    <w:p w14:paraId="167A69C1">
      <w:pPr>
        <w:shd w:val="clear" w:color="auto" w:fill="auto"/>
        <w:autoSpaceDE/>
        <w:autoSpaceDN/>
        <w:rPr>
          <w:rFonts w:ascii="Times New Roman" w:hAnsi="Times New Roman" w:cs="Times New Roman"/>
          <w:kern w:val="2"/>
        </w:rPr>
      </w:pPr>
      <w:r>
        <w:rPr>
          <w:rFonts w:hint="eastAsia" w:ascii="Times New Roman" w:hAnsi="Times New Roman" w:cs="Times New Roman"/>
          <w:kern w:val="2"/>
        </w:rPr>
        <w:t>在地方层面，如江苏省，也有专门的法律法规对水产养殖尾水进行管理。《江苏省水污染防治条例》（</w:t>
      </w:r>
      <w:r>
        <w:rPr>
          <w:rFonts w:ascii="Times New Roman" w:hAnsi="Times New Roman" w:cs="Times New Roman"/>
          <w:kern w:val="2"/>
        </w:rPr>
        <w:t>2020年江苏省人大常委会公告第48号）第四十六条明确规定：“从事水产养殖活动，必须遵循养殖水域滩涂规划，确保养殖密度的科学性，并合理投放饲料、使用药物。同时，应严格控制江河、水库、湖泊的围栏围网养殖规模。利用池塘等水体进行水产养殖时，养殖尾水必须达到相关排放标准。具体的养殖尾水排放地方标准将由省市场监督管理部门会同省生态环境主管部门依法组织编制。”这一规定为江苏省内水产养殖尾水的处理与排放提供了具体的指导和要求。</w:t>
      </w:r>
    </w:p>
    <w:p w14:paraId="7137CBB4">
      <w:pPr>
        <w:shd w:val="clear" w:color="auto" w:fill="auto"/>
        <w:autoSpaceDE/>
        <w:autoSpaceDN/>
        <w:rPr>
          <w:rFonts w:ascii="Times New Roman" w:hAnsi="Times New Roman" w:cs="Times New Roman"/>
          <w:kern w:val="2"/>
        </w:rPr>
      </w:pPr>
      <w:r>
        <w:rPr>
          <w:rFonts w:hint="eastAsia" w:ascii="Times New Roman" w:hAnsi="Times New Roman" w:cs="Times New Roman"/>
          <w:kern w:val="2"/>
        </w:rPr>
        <w:t>本标准的编制符合相关法律法规的要求，具有合法合规性。</w:t>
      </w:r>
    </w:p>
    <w:p w14:paraId="048EBA3F">
      <w:pPr>
        <w:shd w:val="clear" w:color="auto" w:fill="auto"/>
        <w:autoSpaceDE/>
        <w:autoSpaceDN/>
        <w:rPr>
          <w:rFonts w:ascii="Times New Roman" w:hAnsi="Times New Roman" w:eastAsia="黑体" w:cs="Times New Roman"/>
          <w:kern w:val="2"/>
        </w:rPr>
      </w:pPr>
      <w:r>
        <w:rPr>
          <w:rFonts w:hint="eastAsia" w:ascii="Times New Roman" w:hAnsi="Times New Roman" w:eastAsia="黑体" w:cs="Times New Roman"/>
          <w:kern w:val="2"/>
        </w:rPr>
        <w:t>（2）</w:t>
      </w:r>
      <w:r>
        <w:rPr>
          <w:rFonts w:ascii="Times New Roman" w:hAnsi="Times New Roman" w:eastAsia="黑体" w:cs="Times New Roman"/>
          <w:kern w:val="2"/>
        </w:rPr>
        <w:t>国内相关</w:t>
      </w:r>
      <w:r>
        <w:rPr>
          <w:rFonts w:hint="eastAsia" w:ascii="Times New Roman" w:hAnsi="Times New Roman" w:eastAsia="黑体" w:cs="Times New Roman"/>
          <w:kern w:val="2"/>
        </w:rPr>
        <w:t>标准规范</w:t>
      </w:r>
    </w:p>
    <w:p w14:paraId="728BAE1E">
      <w:pPr>
        <w:shd w:val="clear" w:color="auto" w:fill="auto"/>
        <w:autoSpaceDE/>
        <w:autoSpaceDN/>
        <w:rPr>
          <w:rFonts w:ascii="Times New Roman" w:hAnsi="Times New Roman" w:cs="Times New Roman"/>
          <w:kern w:val="2"/>
        </w:rPr>
      </w:pPr>
      <w:r>
        <w:rPr>
          <w:rFonts w:hint="eastAsia" w:ascii="Times New Roman" w:hAnsi="Times New Roman" w:cs="Times New Roman"/>
          <w:kern w:val="2"/>
        </w:rPr>
        <w:t>国内针对水产养殖尾水排放的控制和管理已经建立了一套相对完善的标准规范体系。这些规范涵盖了从尾水排放限值的设定到具体的处理技术，再到监管和执行的各个环节。</w:t>
      </w:r>
    </w:p>
    <w:p w14:paraId="73A3ADAE">
      <w:pPr>
        <w:shd w:val="clear" w:color="auto" w:fill="auto"/>
        <w:autoSpaceDE/>
        <w:autoSpaceDN/>
        <w:rPr>
          <w:rFonts w:ascii="Times New Roman" w:hAnsi="Times New Roman" w:cs="Times New Roman"/>
          <w:kern w:val="2"/>
        </w:rPr>
      </w:pPr>
      <w:r>
        <w:rPr>
          <w:rFonts w:hint="eastAsia" w:ascii="Times New Roman" w:hAnsi="Times New Roman" w:cs="Times New Roman"/>
          <w:kern w:val="2"/>
        </w:rPr>
        <w:t>在国家层面，有《淡水池塘养殖水排放要求》（</w:t>
      </w:r>
      <w:r>
        <w:rPr>
          <w:rFonts w:ascii="Times New Roman" w:hAnsi="Times New Roman" w:cs="Times New Roman"/>
          <w:kern w:val="2"/>
        </w:rPr>
        <w:t>SC/T 9101-2007）和《海水养殖水排放要求》（SC/T 9103-2007），这些标准为淡水和海水养殖尾水的排放提供了基本的技术要求和限值。此外，还有《渔业水质标准》（GB 11607）和《污水综合排放标准》（GB 8978），这些标准对养殖水体和污水排放的水质提出了明确的要求。</w:t>
      </w:r>
    </w:p>
    <w:p w14:paraId="694AE4EB">
      <w:pPr>
        <w:shd w:val="clear" w:color="auto" w:fill="auto"/>
        <w:autoSpaceDE/>
        <w:autoSpaceDN/>
        <w:rPr>
          <w:rFonts w:ascii="Times New Roman" w:hAnsi="Times New Roman" w:cs="Times New Roman"/>
          <w:kern w:val="2"/>
        </w:rPr>
      </w:pPr>
      <w:r>
        <w:rPr>
          <w:rFonts w:hint="eastAsia" w:ascii="Times New Roman" w:hAnsi="Times New Roman" w:cs="Times New Roman"/>
          <w:kern w:val="2"/>
        </w:rPr>
        <w:t>在地方层面，各省份根据本地区的实际情况和养殖特点，制定了更为具体的地方标准。例如，江苏省出台了《池塘养殖尾水排放标准》（</w:t>
      </w:r>
      <w:r>
        <w:rPr>
          <w:rFonts w:ascii="Times New Roman" w:hAnsi="Times New Roman" w:cs="Times New Roman"/>
          <w:kern w:val="2"/>
        </w:rPr>
        <w:t>DB32/4043-2021），明确了该省池塘养殖尾水的排放要求。这些地方标准通常会比国家标准更为严格，以适应当地环境保护的需要。</w:t>
      </w:r>
    </w:p>
    <w:p w14:paraId="793CFD2F">
      <w:pPr>
        <w:shd w:val="clear" w:color="auto" w:fill="auto"/>
        <w:autoSpaceDE/>
        <w:autoSpaceDN/>
        <w:rPr>
          <w:rFonts w:ascii="Times New Roman" w:hAnsi="Times New Roman" w:cs="Times New Roman"/>
          <w:kern w:val="2"/>
        </w:rPr>
      </w:pPr>
      <w:r>
        <w:rPr>
          <w:rFonts w:hint="eastAsia" w:ascii="Times New Roman" w:hAnsi="Times New Roman" w:cs="Times New Roman"/>
          <w:kern w:val="2"/>
        </w:rPr>
        <w:t>除了尾水排放标准，为进一步控制养殖污染排放，农业、环境等主管部门制定出台了一系列监测方法、调控技术标准和技术规范。生态环境部发布《地方水产养殖业水污染物排放控制标准制订技术导则</w:t>
      </w:r>
      <w:r>
        <w:rPr>
          <w:rFonts w:ascii="Times New Roman" w:hAnsi="Times New Roman" w:cs="Times New Roman"/>
          <w:kern w:val="2"/>
        </w:rPr>
        <w:t>HJ1217-2023》，将进一步指导地方相关排放标准和控制技术规范的编制，本标准与其规定内容协调一致</w:t>
      </w:r>
      <w:r>
        <w:rPr>
          <w:rFonts w:hint="eastAsia" w:ascii="Times New Roman" w:hAnsi="Times New Roman" w:cs="Times New Roman"/>
          <w:kern w:val="2"/>
        </w:rPr>
        <w:t>。</w:t>
      </w:r>
      <w:r>
        <w:rPr>
          <w:rFonts w:ascii="Times New Roman" w:hAnsi="Times New Roman" w:cs="Times New Roman"/>
          <w:kern w:val="2"/>
        </w:rPr>
        <w:t>2011年，苏州农业职业技术学院、吴中区水生动物疫病预防控制中心起草了《渔业养殖尾水生态处理技术规范（DB3205/T 209-2011）》。2017年，中国水产科学研究院淡水渔业研究中心、苏州大学起草了《淡水池塘循环水健康养殖三级净化技术操作规程（DB32/T 3238-2017）》。</w:t>
      </w:r>
      <w:r>
        <w:rPr>
          <w:rFonts w:hint="eastAsia" w:ascii="Times New Roman" w:hAnsi="Times New Roman" w:cs="Times New Roman"/>
          <w:kern w:val="2"/>
        </w:rPr>
        <w:t>本标准强调微生物的作用，进一步细化处理工艺流程、设施和相关参数，是同类标准规定内容的进一步补充。本标准主要与江苏省《池塘养殖尾水排放标准</w:t>
      </w:r>
      <w:r>
        <w:rPr>
          <w:rFonts w:ascii="Times New Roman" w:hAnsi="Times New Roman" w:cs="Times New Roman"/>
          <w:kern w:val="2"/>
        </w:rPr>
        <w:t>DB32/4043-2021》协调配套，作为可行技术支撑相关排污单位达标排放。</w:t>
      </w:r>
    </w:p>
    <w:p w14:paraId="33C9F0E8">
      <w:pPr>
        <w:pStyle w:val="17"/>
        <w:spacing w:line="360" w:lineRule="auto"/>
        <w:rPr>
          <w:rFonts w:ascii="Times New Roman" w:hAnsi="Times New Roman" w:eastAsia="黑体"/>
          <w:b w:val="0"/>
          <w:bCs w:val="0"/>
          <w:sz w:val="24"/>
          <w:szCs w:val="36"/>
        </w:rPr>
      </w:pPr>
      <w:bookmarkStart w:id="74" w:name="_Toc144305327"/>
      <w:bookmarkStart w:id="75" w:name="_Toc186557563"/>
      <w:bookmarkStart w:id="76" w:name="_Toc170888063"/>
      <w:r>
        <w:rPr>
          <w:rFonts w:hint="eastAsia" w:ascii="Times New Roman" w:hAnsi="Times New Roman" w:eastAsia="黑体"/>
          <w:b w:val="0"/>
          <w:bCs w:val="0"/>
          <w:sz w:val="24"/>
          <w:szCs w:val="36"/>
        </w:rPr>
        <w:t>7</w:t>
      </w:r>
      <w:r>
        <w:rPr>
          <w:rFonts w:ascii="Times New Roman" w:hAnsi="Times New Roman" w:eastAsia="黑体"/>
          <w:b w:val="0"/>
          <w:bCs w:val="0"/>
          <w:sz w:val="24"/>
          <w:szCs w:val="36"/>
        </w:rPr>
        <w:t xml:space="preserve"> </w:t>
      </w:r>
      <w:r>
        <w:rPr>
          <w:rFonts w:hint="eastAsia" w:ascii="Times New Roman" w:hAnsi="Times New Roman" w:eastAsia="黑体"/>
          <w:b w:val="0"/>
          <w:bCs w:val="0"/>
          <w:sz w:val="24"/>
          <w:szCs w:val="36"/>
        </w:rPr>
        <w:t>标准实施效益分析</w:t>
      </w:r>
      <w:bookmarkEnd w:id="74"/>
      <w:bookmarkEnd w:id="75"/>
      <w:bookmarkEnd w:id="76"/>
    </w:p>
    <w:p w14:paraId="652BBF6F">
      <w:pPr>
        <w:pStyle w:val="22"/>
        <w:spacing w:line="360" w:lineRule="auto"/>
        <w:rPr>
          <w:rFonts w:ascii="Times New Roman" w:hAnsi="Times New Roman" w:eastAsia="黑体"/>
          <w:b w:val="0"/>
          <w:bCs w:val="0"/>
          <w:sz w:val="24"/>
          <w:szCs w:val="28"/>
        </w:rPr>
      </w:pPr>
      <w:bookmarkStart w:id="77" w:name="_Toc186557564"/>
      <w:bookmarkStart w:id="78" w:name="_Toc144305328"/>
      <w:bookmarkStart w:id="79" w:name="_Toc170888064"/>
      <w:r>
        <w:rPr>
          <w:rFonts w:hint="eastAsia" w:ascii="Times New Roman" w:hAnsi="Times New Roman" w:eastAsia="黑体"/>
          <w:b w:val="0"/>
          <w:bCs w:val="0"/>
          <w:sz w:val="24"/>
          <w:szCs w:val="28"/>
        </w:rPr>
        <w:t>7</w:t>
      </w:r>
      <w:r>
        <w:rPr>
          <w:rFonts w:ascii="Times New Roman" w:hAnsi="Times New Roman" w:eastAsia="黑体"/>
          <w:b w:val="0"/>
          <w:bCs w:val="0"/>
          <w:sz w:val="24"/>
          <w:szCs w:val="28"/>
        </w:rPr>
        <w:t>.1</w:t>
      </w:r>
      <w:r>
        <w:rPr>
          <w:rFonts w:hint="eastAsia" w:ascii="Times New Roman" w:hAnsi="Times New Roman" w:eastAsia="黑体"/>
          <w:b w:val="0"/>
          <w:bCs w:val="0"/>
          <w:sz w:val="24"/>
          <w:szCs w:val="28"/>
        </w:rPr>
        <w:t xml:space="preserve"> </w:t>
      </w:r>
      <w:r>
        <w:rPr>
          <w:rFonts w:ascii="Times New Roman" w:hAnsi="Times New Roman" w:eastAsia="黑体"/>
          <w:b w:val="0"/>
          <w:bCs w:val="0"/>
          <w:sz w:val="24"/>
          <w:szCs w:val="28"/>
        </w:rPr>
        <w:t>生态效益</w:t>
      </w:r>
      <w:bookmarkEnd w:id="77"/>
      <w:bookmarkEnd w:id="78"/>
      <w:bookmarkEnd w:id="79"/>
    </w:p>
    <w:p w14:paraId="5A5BE648">
      <w:pPr>
        <w:shd w:val="clear" w:color="auto" w:fill="auto"/>
        <w:autoSpaceDE/>
        <w:autoSpaceDN/>
        <w:rPr>
          <w:rFonts w:ascii="Times New Roman" w:hAnsi="Times New Roman" w:cs="Times New Roman"/>
          <w:kern w:val="2"/>
        </w:rPr>
      </w:pPr>
      <w:r>
        <w:rPr>
          <w:rFonts w:hint="eastAsia" w:ascii="Times New Roman" w:hAnsi="Times New Roman" w:cs="Times New Roman"/>
          <w:kern w:val="2"/>
        </w:rPr>
        <w:t>该标准通过微生物的生物降解作用和生态工程技术的结合，能够有效减少尾水中的有机物和营养盐，降低水体富营养化的风险，进而保护和恢复水生生态系统的健康和生物多样性。此外，处理后的水质改善有助于维护水体的自然净化功能，促进整个生态系统的平衡和稳定。</w:t>
      </w:r>
    </w:p>
    <w:p w14:paraId="129E33A6">
      <w:pPr>
        <w:pStyle w:val="22"/>
        <w:spacing w:line="360" w:lineRule="auto"/>
        <w:rPr>
          <w:rFonts w:ascii="Times New Roman" w:hAnsi="Times New Roman" w:eastAsia="黑体"/>
          <w:b w:val="0"/>
          <w:bCs w:val="0"/>
          <w:sz w:val="24"/>
          <w:szCs w:val="28"/>
        </w:rPr>
      </w:pPr>
      <w:bookmarkStart w:id="80" w:name="_Toc170888065"/>
      <w:bookmarkStart w:id="81" w:name="_Toc186557565"/>
      <w:r>
        <w:rPr>
          <w:rFonts w:ascii="Times New Roman" w:hAnsi="Times New Roman" w:eastAsia="黑体"/>
          <w:b w:val="0"/>
          <w:bCs w:val="0"/>
          <w:sz w:val="24"/>
          <w:szCs w:val="28"/>
        </w:rPr>
        <w:t>7.</w:t>
      </w:r>
      <w:r>
        <w:rPr>
          <w:rFonts w:hint="eastAsia" w:ascii="Times New Roman" w:hAnsi="Times New Roman" w:eastAsia="黑体"/>
          <w:b w:val="0"/>
          <w:bCs w:val="0"/>
          <w:sz w:val="24"/>
          <w:szCs w:val="28"/>
        </w:rPr>
        <w:t>2</w:t>
      </w:r>
      <w:r>
        <w:rPr>
          <w:rFonts w:ascii="Times New Roman" w:hAnsi="Times New Roman" w:eastAsia="黑体"/>
          <w:b w:val="0"/>
          <w:bCs w:val="0"/>
          <w:sz w:val="24"/>
          <w:szCs w:val="28"/>
        </w:rPr>
        <w:t xml:space="preserve"> </w:t>
      </w:r>
      <w:r>
        <w:rPr>
          <w:rFonts w:hint="eastAsia" w:ascii="Times New Roman" w:hAnsi="Times New Roman" w:eastAsia="黑体"/>
          <w:b w:val="0"/>
          <w:bCs w:val="0"/>
          <w:sz w:val="24"/>
          <w:szCs w:val="28"/>
        </w:rPr>
        <w:t>经济</w:t>
      </w:r>
      <w:r>
        <w:rPr>
          <w:rFonts w:ascii="Times New Roman" w:hAnsi="Times New Roman" w:eastAsia="黑体"/>
          <w:b w:val="0"/>
          <w:bCs w:val="0"/>
          <w:sz w:val="24"/>
          <w:szCs w:val="28"/>
        </w:rPr>
        <w:t>效益</w:t>
      </w:r>
      <w:bookmarkEnd w:id="80"/>
      <w:bookmarkEnd w:id="81"/>
    </w:p>
    <w:p w14:paraId="5A301276">
      <w:pPr>
        <w:shd w:val="clear" w:color="auto" w:fill="auto"/>
        <w:autoSpaceDE/>
        <w:autoSpaceDN/>
        <w:rPr>
          <w:rFonts w:ascii="Times New Roman" w:hAnsi="Times New Roman" w:cs="Times New Roman"/>
          <w:kern w:val="2"/>
        </w:rPr>
      </w:pPr>
      <w:r>
        <w:rPr>
          <w:rFonts w:hint="eastAsia" w:ascii="Times New Roman" w:hAnsi="Times New Roman" w:cs="Times New Roman"/>
          <w:kern w:val="2"/>
        </w:rPr>
        <w:t>实施该技术规范标准可以提高水资源的循环利用率，减少对新鲜水资源的依赖，从而降低养殖成本。同时，优质的养殖环境能够提升水产品的品质和市场竞争力，增加产品的附加值，为养殖者带来更高的经济回报。长远来看，规范化的尾水处理减少了环境污染事故的发生，避免了潜在的经济损失和法律风险。</w:t>
      </w:r>
    </w:p>
    <w:p w14:paraId="01412AB0">
      <w:pPr>
        <w:pStyle w:val="22"/>
        <w:spacing w:line="360" w:lineRule="auto"/>
        <w:rPr>
          <w:rFonts w:ascii="Times New Roman" w:hAnsi="Times New Roman" w:eastAsia="黑体"/>
          <w:b w:val="0"/>
          <w:bCs w:val="0"/>
          <w:sz w:val="24"/>
          <w:szCs w:val="28"/>
        </w:rPr>
      </w:pPr>
      <w:bookmarkStart w:id="82" w:name="_Toc170888066"/>
      <w:bookmarkStart w:id="83" w:name="_Toc186557566"/>
      <w:r>
        <w:rPr>
          <w:rFonts w:ascii="Times New Roman" w:hAnsi="Times New Roman" w:eastAsia="黑体"/>
          <w:b w:val="0"/>
          <w:bCs w:val="0"/>
          <w:sz w:val="24"/>
          <w:szCs w:val="28"/>
        </w:rPr>
        <w:t>7.</w:t>
      </w:r>
      <w:r>
        <w:rPr>
          <w:rFonts w:hint="eastAsia" w:ascii="Times New Roman" w:hAnsi="Times New Roman" w:eastAsia="黑体"/>
          <w:b w:val="0"/>
          <w:bCs w:val="0"/>
          <w:sz w:val="24"/>
          <w:szCs w:val="28"/>
        </w:rPr>
        <w:t>3</w:t>
      </w:r>
      <w:r>
        <w:rPr>
          <w:rFonts w:ascii="Times New Roman" w:hAnsi="Times New Roman" w:eastAsia="黑体"/>
          <w:b w:val="0"/>
          <w:bCs w:val="0"/>
          <w:sz w:val="24"/>
          <w:szCs w:val="28"/>
        </w:rPr>
        <w:t xml:space="preserve"> </w:t>
      </w:r>
      <w:r>
        <w:rPr>
          <w:rFonts w:hint="eastAsia" w:ascii="Times New Roman" w:hAnsi="Times New Roman" w:eastAsia="黑体"/>
          <w:b w:val="0"/>
          <w:bCs w:val="0"/>
          <w:sz w:val="24"/>
          <w:szCs w:val="28"/>
        </w:rPr>
        <w:t>社会</w:t>
      </w:r>
      <w:r>
        <w:rPr>
          <w:rFonts w:ascii="Times New Roman" w:hAnsi="Times New Roman" w:eastAsia="黑体"/>
          <w:b w:val="0"/>
          <w:bCs w:val="0"/>
          <w:sz w:val="24"/>
          <w:szCs w:val="28"/>
        </w:rPr>
        <w:t>效益</w:t>
      </w:r>
      <w:bookmarkEnd w:id="82"/>
      <w:bookmarkEnd w:id="83"/>
    </w:p>
    <w:p w14:paraId="3C0F520B">
      <w:pPr>
        <w:shd w:val="clear" w:color="auto" w:fill="auto"/>
        <w:autoSpaceDE/>
        <w:autoSpaceDN/>
        <w:rPr>
          <w:rFonts w:ascii="Times New Roman" w:hAnsi="Times New Roman" w:cs="Times New Roman"/>
          <w:kern w:val="2"/>
        </w:rPr>
      </w:pPr>
      <w:r>
        <w:rPr>
          <w:rFonts w:hint="eastAsia" w:ascii="Times New Roman" w:hAnsi="Times New Roman" w:cs="Times New Roman"/>
          <w:kern w:val="2"/>
        </w:rPr>
        <w:t>该标准的推广和实施有助于提升公众对渔业养殖环保责任的认识，增强社会对绿色养殖的支持和信任。通过技术规范的实施，可以展示养殖行业的积极形象，提高其在社会上的接受度和认可度。此外，随着相关环保技术和服务的发展，可能会为当地创造更多的就业机会，促进地区经济的发展。</w:t>
      </w:r>
    </w:p>
    <w:p w14:paraId="32CB3B00">
      <w:pPr>
        <w:pStyle w:val="17"/>
        <w:spacing w:line="360" w:lineRule="auto"/>
        <w:rPr>
          <w:rFonts w:ascii="Times New Roman" w:hAnsi="Times New Roman" w:eastAsia="黑体"/>
          <w:b w:val="0"/>
          <w:bCs w:val="0"/>
          <w:sz w:val="24"/>
          <w:szCs w:val="36"/>
        </w:rPr>
      </w:pPr>
      <w:bookmarkStart w:id="84" w:name="_Toc170888067"/>
      <w:bookmarkStart w:id="85" w:name="_Toc186557567"/>
      <w:r>
        <w:rPr>
          <w:rFonts w:hint="eastAsia" w:ascii="Times New Roman" w:hAnsi="Times New Roman" w:eastAsia="黑体"/>
          <w:b w:val="0"/>
          <w:bCs w:val="0"/>
          <w:sz w:val="24"/>
          <w:szCs w:val="36"/>
        </w:rPr>
        <w:t>8</w:t>
      </w:r>
      <w:r>
        <w:rPr>
          <w:rFonts w:ascii="Times New Roman" w:hAnsi="Times New Roman" w:eastAsia="黑体"/>
          <w:b w:val="0"/>
          <w:bCs w:val="0"/>
          <w:sz w:val="24"/>
          <w:szCs w:val="36"/>
        </w:rPr>
        <w:t xml:space="preserve"> </w:t>
      </w:r>
      <w:r>
        <w:rPr>
          <w:rFonts w:hint="eastAsia" w:ascii="Times New Roman" w:hAnsi="Times New Roman" w:eastAsia="黑体"/>
          <w:b w:val="0"/>
          <w:bCs w:val="0"/>
          <w:sz w:val="24"/>
          <w:szCs w:val="36"/>
        </w:rPr>
        <w:t>标准实施建议</w:t>
      </w:r>
      <w:bookmarkEnd w:id="84"/>
      <w:bookmarkEnd w:id="85"/>
    </w:p>
    <w:p w14:paraId="39A34D7C">
      <w:pPr>
        <w:shd w:val="clear" w:color="auto" w:fill="auto"/>
        <w:autoSpaceDE/>
        <w:autoSpaceDN/>
        <w:rPr>
          <w:rFonts w:ascii="Times New Roman" w:hAnsi="Times New Roman" w:cs="Times New Roman"/>
          <w:kern w:val="2"/>
        </w:rPr>
      </w:pPr>
      <w:r>
        <w:rPr>
          <w:rFonts w:hint="eastAsia" w:ascii="Times New Roman" w:hAnsi="Times New Roman" w:cs="Times New Roman"/>
          <w:kern w:val="2"/>
        </w:rPr>
        <w:t>针对全省农业系统内从事水产养殖生产管理与技术推广的人员，以及水产养殖企业、合作社的技术负责人和养殖户，我们将分三个阶段实施标准推广方案。</w:t>
      </w:r>
    </w:p>
    <w:p w14:paraId="48E069C2">
      <w:pPr>
        <w:shd w:val="clear" w:color="auto" w:fill="auto"/>
        <w:autoSpaceDE/>
        <w:autoSpaceDN/>
        <w:rPr>
          <w:rFonts w:ascii="Times New Roman" w:hAnsi="Times New Roman" w:cs="Times New Roman"/>
          <w:kern w:val="2"/>
        </w:rPr>
      </w:pPr>
      <w:r>
        <w:rPr>
          <w:rFonts w:hint="eastAsia" w:ascii="Times New Roman" w:hAnsi="Times New Roman" w:cs="Times New Roman"/>
          <w:kern w:val="2"/>
        </w:rPr>
        <w:t>（1）</w:t>
      </w:r>
      <w:r>
        <w:rPr>
          <w:rFonts w:ascii="Times New Roman" w:hAnsi="Times New Roman" w:cs="Times New Roman"/>
          <w:kern w:val="2"/>
        </w:rPr>
        <w:t>启动阶段：制定并实施宣贯计划，由项目团队联合相关部门召开专门的宣贯会议，安排宣贯任务，并制作相关的宣贯资料。</w:t>
      </w:r>
    </w:p>
    <w:p w14:paraId="64461DE7">
      <w:pPr>
        <w:shd w:val="clear" w:color="auto" w:fill="auto"/>
        <w:autoSpaceDE/>
        <w:autoSpaceDN/>
        <w:rPr>
          <w:rFonts w:ascii="Times New Roman" w:hAnsi="Times New Roman" w:cs="Times New Roman"/>
          <w:kern w:val="2"/>
        </w:rPr>
      </w:pPr>
      <w:r>
        <w:rPr>
          <w:rFonts w:hint="eastAsia" w:ascii="Times New Roman" w:hAnsi="Times New Roman" w:cs="Times New Roman"/>
          <w:kern w:val="2"/>
        </w:rPr>
        <w:t>（2）</w:t>
      </w:r>
      <w:r>
        <w:rPr>
          <w:rFonts w:ascii="Times New Roman" w:hAnsi="Times New Roman" w:cs="Times New Roman"/>
          <w:kern w:val="2"/>
        </w:rPr>
        <w:t>实施阶段：根据宣贯计划，通过专题会议、专业培训、在线教育、知识竞赛等多种方式，全面开展标准宣贯工作，确保所有目标对象都能了解宣贯内容。例如，在水产养殖密集的地区，系统地培养一支熟悉水产养殖、生态修复和治理的专业团队，指导当地实施标准化的尾水生态处理工艺。各区县农业部门将组织技术人员深入企业、合作社和农户，以《池塘养殖尾水生态化治理标准汇编》为核心，开展养殖尾水治理的标准化知识培训，普及推广尾水处理标准。</w:t>
      </w:r>
    </w:p>
    <w:p w14:paraId="70F60C5E">
      <w:pPr>
        <w:shd w:val="clear" w:color="auto" w:fill="auto"/>
        <w:autoSpaceDE/>
        <w:autoSpaceDN/>
        <w:rPr>
          <w:rFonts w:ascii="Times New Roman" w:hAnsi="Times New Roman" w:cs="Times New Roman"/>
          <w:kern w:val="2"/>
        </w:rPr>
      </w:pPr>
      <w:r>
        <w:rPr>
          <w:rFonts w:hint="eastAsia" w:ascii="Times New Roman" w:hAnsi="Times New Roman" w:cs="Times New Roman"/>
          <w:kern w:val="2"/>
        </w:rPr>
        <w:t>（3）</w:t>
      </w:r>
      <w:r>
        <w:rPr>
          <w:rFonts w:ascii="Times New Roman" w:hAnsi="Times New Roman" w:cs="Times New Roman"/>
          <w:kern w:val="2"/>
        </w:rPr>
        <w:t>深化阶段</w:t>
      </w:r>
      <w:r>
        <w:rPr>
          <w:rFonts w:hint="eastAsia" w:ascii="Times New Roman" w:hAnsi="Times New Roman" w:cs="Times New Roman"/>
          <w:kern w:val="2"/>
        </w:rPr>
        <w:t>：</w:t>
      </w:r>
      <w:r>
        <w:rPr>
          <w:rFonts w:ascii="Times New Roman" w:hAnsi="Times New Roman" w:cs="Times New Roman"/>
          <w:kern w:val="2"/>
        </w:rPr>
        <w:t>各区县管理部门需将标准宣贯的执行情况纳入常规监管和执法工作中，确保各生产经营单位根据新的地方标准要求，建立尾水处理流程，保证排放水质达到《池塘养殖尾水排放标准》(DB32/4043-2021)的规定。同时，各区县应利用报纸、电视、广播和网络等媒体广泛宣传尾水生态化治理的成效，及时报道宣贯工作的进展，提高公众对尾水生态治理标准化的认识，促进我省水产养殖业的绿色健康发展。</w:t>
      </w:r>
    </w:p>
    <w:sectPr>
      <w:footerReference r:id="rId11" w:type="default"/>
      <w:pgSz w:w="11906" w:h="16838"/>
      <w:pgMar w:top="1134" w:right="1134" w:bottom="1134" w:left="1417"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86F018">
    <w:pPr>
      <w:pStyle w:val="5"/>
      <w:ind w:firstLine="36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6869C0">
    <w:pPr>
      <w:pStyle w:val="5"/>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F2EBC4">
    <w:pPr>
      <w:pStyle w:val="5"/>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72193729"/>
    </w:sdtPr>
    <w:sdtContent>
      <w:p w14:paraId="7D047580">
        <w:pPr>
          <w:pStyle w:val="5"/>
          <w:ind w:firstLine="360"/>
          <w:jc w:val="center"/>
          <w:rPr>
            <w:rFonts w:hint="eastAsia"/>
          </w:rPr>
        </w:pPr>
        <w:r>
          <w:fldChar w:fldCharType="begin"/>
        </w:r>
        <w:r>
          <w:instrText xml:space="preserve">PAGE   \* MERGEFORMAT</w:instrText>
        </w:r>
        <w:r>
          <w:fldChar w:fldCharType="separate"/>
        </w:r>
        <w:r>
          <w:rPr>
            <w:lang w:val="zh-CN"/>
          </w:rPr>
          <w:t>2</w:t>
        </w:r>
        <w:r>
          <w:fldChar w:fldCharType="end"/>
        </w:r>
      </w:p>
    </w:sdtContent>
  </w:sdt>
  <w:p w14:paraId="2F1CAF8E">
    <w:pPr>
      <w:pStyle w:val="5"/>
      <w:ind w:firstLine="360"/>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C1A849">
    <w:pPr>
      <w:pStyle w:val="6"/>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478297">
    <w:pPr>
      <w:pStyle w:val="6"/>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DDB9E">
    <w:pPr>
      <w:pStyle w:val="6"/>
      <w:ind w:firstLine="36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D960700"/>
    <w:multiLevelType w:val="multilevel"/>
    <w:tmpl w:val="5D960700"/>
    <w:lvl w:ilvl="0" w:tentative="0">
      <w:start w:val="1"/>
      <w:numFmt w:val="decimal"/>
      <w:lvlText w:val="%1、"/>
      <w:lvlJc w:val="left"/>
      <w:pPr>
        <w:ind w:left="800" w:hanging="360"/>
      </w:pPr>
      <w:rPr>
        <w:rFonts w:hint="default"/>
      </w:rPr>
    </w:lvl>
    <w:lvl w:ilvl="1" w:tentative="0">
      <w:start w:val="1"/>
      <w:numFmt w:val="lowerLetter"/>
      <w:lvlText w:val="%2)"/>
      <w:lvlJc w:val="left"/>
      <w:pPr>
        <w:ind w:left="1320" w:hanging="440"/>
      </w:pPr>
    </w:lvl>
    <w:lvl w:ilvl="2" w:tentative="0">
      <w:start w:val="1"/>
      <w:numFmt w:val="lowerRoman"/>
      <w:lvlText w:val="%3."/>
      <w:lvlJc w:val="right"/>
      <w:pPr>
        <w:ind w:left="1760" w:hanging="440"/>
      </w:pPr>
    </w:lvl>
    <w:lvl w:ilvl="3" w:tentative="0">
      <w:start w:val="1"/>
      <w:numFmt w:val="decimal"/>
      <w:lvlText w:val="%4."/>
      <w:lvlJc w:val="left"/>
      <w:pPr>
        <w:ind w:left="2200" w:hanging="440"/>
      </w:pPr>
    </w:lvl>
    <w:lvl w:ilvl="4" w:tentative="0">
      <w:start w:val="1"/>
      <w:numFmt w:val="lowerLetter"/>
      <w:lvlText w:val="%5)"/>
      <w:lvlJc w:val="left"/>
      <w:pPr>
        <w:ind w:left="2640" w:hanging="440"/>
      </w:pPr>
    </w:lvl>
    <w:lvl w:ilvl="5" w:tentative="0">
      <w:start w:val="1"/>
      <w:numFmt w:val="lowerRoman"/>
      <w:lvlText w:val="%6."/>
      <w:lvlJc w:val="right"/>
      <w:pPr>
        <w:ind w:left="3080" w:hanging="440"/>
      </w:pPr>
    </w:lvl>
    <w:lvl w:ilvl="6" w:tentative="0">
      <w:start w:val="1"/>
      <w:numFmt w:val="decimal"/>
      <w:lvlText w:val="%7."/>
      <w:lvlJc w:val="left"/>
      <w:pPr>
        <w:ind w:left="3520" w:hanging="440"/>
      </w:pPr>
    </w:lvl>
    <w:lvl w:ilvl="7" w:tentative="0">
      <w:start w:val="1"/>
      <w:numFmt w:val="lowerLetter"/>
      <w:lvlText w:val="%8)"/>
      <w:lvlJc w:val="left"/>
      <w:pPr>
        <w:ind w:left="3960" w:hanging="440"/>
      </w:pPr>
    </w:lvl>
    <w:lvl w:ilvl="8" w:tentative="0">
      <w:start w:val="1"/>
      <w:numFmt w:val="lowerRoman"/>
      <w:lvlText w:val="%9."/>
      <w:lvlJc w:val="right"/>
      <w:pPr>
        <w:ind w:left="440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Q5YjQ4MGZmMDEwMDczOGQxNTlhYmY3MWY4MWJmZTkifQ=="/>
  </w:docVars>
  <w:rsids>
    <w:rsidRoot w:val="2B417EE3"/>
    <w:rsid w:val="00001049"/>
    <w:rsid w:val="00011912"/>
    <w:rsid w:val="0001282A"/>
    <w:rsid w:val="00022536"/>
    <w:rsid w:val="0002460A"/>
    <w:rsid w:val="00035EC3"/>
    <w:rsid w:val="00041D24"/>
    <w:rsid w:val="00043AB2"/>
    <w:rsid w:val="00077BBA"/>
    <w:rsid w:val="00083AFE"/>
    <w:rsid w:val="00084BC7"/>
    <w:rsid w:val="0008584E"/>
    <w:rsid w:val="0009492D"/>
    <w:rsid w:val="0009580C"/>
    <w:rsid w:val="000B0B97"/>
    <w:rsid w:val="000E1BD4"/>
    <w:rsid w:val="00114D41"/>
    <w:rsid w:val="00115B09"/>
    <w:rsid w:val="0013191A"/>
    <w:rsid w:val="00136AEE"/>
    <w:rsid w:val="0014465A"/>
    <w:rsid w:val="001513FF"/>
    <w:rsid w:val="0015418B"/>
    <w:rsid w:val="0015776E"/>
    <w:rsid w:val="001633D9"/>
    <w:rsid w:val="0016730B"/>
    <w:rsid w:val="00176C3A"/>
    <w:rsid w:val="00183803"/>
    <w:rsid w:val="001B22B1"/>
    <w:rsid w:val="001B2B29"/>
    <w:rsid w:val="001B2D32"/>
    <w:rsid w:val="001B4958"/>
    <w:rsid w:val="001B49F5"/>
    <w:rsid w:val="001C62CD"/>
    <w:rsid w:val="001C6C92"/>
    <w:rsid w:val="001D26FC"/>
    <w:rsid w:val="001D29C6"/>
    <w:rsid w:val="001D7CB5"/>
    <w:rsid w:val="001E243D"/>
    <w:rsid w:val="001F5BDD"/>
    <w:rsid w:val="00200410"/>
    <w:rsid w:val="00201B5E"/>
    <w:rsid w:val="002147B2"/>
    <w:rsid w:val="002278FA"/>
    <w:rsid w:val="0024330A"/>
    <w:rsid w:val="00266AD8"/>
    <w:rsid w:val="00287D6A"/>
    <w:rsid w:val="002A3B83"/>
    <w:rsid w:val="002C08E6"/>
    <w:rsid w:val="002C41F4"/>
    <w:rsid w:val="002C6912"/>
    <w:rsid w:val="002D6802"/>
    <w:rsid w:val="002D6D64"/>
    <w:rsid w:val="002D7595"/>
    <w:rsid w:val="002E6928"/>
    <w:rsid w:val="00313F5D"/>
    <w:rsid w:val="00317242"/>
    <w:rsid w:val="00326014"/>
    <w:rsid w:val="00327DF4"/>
    <w:rsid w:val="0033031A"/>
    <w:rsid w:val="0035593F"/>
    <w:rsid w:val="003563EC"/>
    <w:rsid w:val="00364002"/>
    <w:rsid w:val="00372F15"/>
    <w:rsid w:val="0038118A"/>
    <w:rsid w:val="00391D5C"/>
    <w:rsid w:val="003A4BF5"/>
    <w:rsid w:val="003B215C"/>
    <w:rsid w:val="003C4A44"/>
    <w:rsid w:val="003D0115"/>
    <w:rsid w:val="0040430B"/>
    <w:rsid w:val="00413162"/>
    <w:rsid w:val="00432F88"/>
    <w:rsid w:val="00443003"/>
    <w:rsid w:val="00445AB6"/>
    <w:rsid w:val="00450D6F"/>
    <w:rsid w:val="00470666"/>
    <w:rsid w:val="00470C2A"/>
    <w:rsid w:val="004719DB"/>
    <w:rsid w:val="00474BFE"/>
    <w:rsid w:val="00482918"/>
    <w:rsid w:val="004830C0"/>
    <w:rsid w:val="004A065C"/>
    <w:rsid w:val="004A39D7"/>
    <w:rsid w:val="004B1DC5"/>
    <w:rsid w:val="004B62C3"/>
    <w:rsid w:val="004B6787"/>
    <w:rsid w:val="004C0126"/>
    <w:rsid w:val="004C0320"/>
    <w:rsid w:val="004C03BF"/>
    <w:rsid w:val="004C11E2"/>
    <w:rsid w:val="004C52BD"/>
    <w:rsid w:val="0050611D"/>
    <w:rsid w:val="005161B3"/>
    <w:rsid w:val="00517C05"/>
    <w:rsid w:val="00520D32"/>
    <w:rsid w:val="00535DD1"/>
    <w:rsid w:val="00560F46"/>
    <w:rsid w:val="00565244"/>
    <w:rsid w:val="005715B3"/>
    <w:rsid w:val="00580903"/>
    <w:rsid w:val="005902C0"/>
    <w:rsid w:val="00593AE5"/>
    <w:rsid w:val="00595575"/>
    <w:rsid w:val="005A1549"/>
    <w:rsid w:val="005A6A44"/>
    <w:rsid w:val="005B149C"/>
    <w:rsid w:val="005B4058"/>
    <w:rsid w:val="005C3D69"/>
    <w:rsid w:val="005D0608"/>
    <w:rsid w:val="005D288D"/>
    <w:rsid w:val="005D42E7"/>
    <w:rsid w:val="005E2028"/>
    <w:rsid w:val="006039AE"/>
    <w:rsid w:val="00610289"/>
    <w:rsid w:val="00612741"/>
    <w:rsid w:val="006215C4"/>
    <w:rsid w:val="00623BB1"/>
    <w:rsid w:val="006263B9"/>
    <w:rsid w:val="00634994"/>
    <w:rsid w:val="00642B55"/>
    <w:rsid w:val="00650EB4"/>
    <w:rsid w:val="00653B95"/>
    <w:rsid w:val="00657558"/>
    <w:rsid w:val="006629CB"/>
    <w:rsid w:val="00665E76"/>
    <w:rsid w:val="00674DA7"/>
    <w:rsid w:val="00680370"/>
    <w:rsid w:val="0068507B"/>
    <w:rsid w:val="00685CD2"/>
    <w:rsid w:val="00686C5C"/>
    <w:rsid w:val="006926A8"/>
    <w:rsid w:val="006C4D15"/>
    <w:rsid w:val="006C628C"/>
    <w:rsid w:val="006D6B4F"/>
    <w:rsid w:val="00704432"/>
    <w:rsid w:val="007052CB"/>
    <w:rsid w:val="0072354C"/>
    <w:rsid w:val="0073183A"/>
    <w:rsid w:val="0074281F"/>
    <w:rsid w:val="0074525F"/>
    <w:rsid w:val="00760E8A"/>
    <w:rsid w:val="007724CC"/>
    <w:rsid w:val="00776F93"/>
    <w:rsid w:val="00776FD9"/>
    <w:rsid w:val="00780277"/>
    <w:rsid w:val="00792A17"/>
    <w:rsid w:val="007946F7"/>
    <w:rsid w:val="007A55D4"/>
    <w:rsid w:val="007B3AEF"/>
    <w:rsid w:val="007B4119"/>
    <w:rsid w:val="007D00A9"/>
    <w:rsid w:val="007F65A5"/>
    <w:rsid w:val="0081328C"/>
    <w:rsid w:val="0082462B"/>
    <w:rsid w:val="00840B1A"/>
    <w:rsid w:val="008573BC"/>
    <w:rsid w:val="00864D80"/>
    <w:rsid w:val="00867BCD"/>
    <w:rsid w:val="008705DA"/>
    <w:rsid w:val="00895C66"/>
    <w:rsid w:val="008A5362"/>
    <w:rsid w:val="008C2D73"/>
    <w:rsid w:val="008C6F09"/>
    <w:rsid w:val="008F0893"/>
    <w:rsid w:val="00906BF9"/>
    <w:rsid w:val="009360C3"/>
    <w:rsid w:val="00941432"/>
    <w:rsid w:val="00965092"/>
    <w:rsid w:val="0097565D"/>
    <w:rsid w:val="00990FA6"/>
    <w:rsid w:val="009A25AB"/>
    <w:rsid w:val="009B5966"/>
    <w:rsid w:val="009C0D6D"/>
    <w:rsid w:val="009E55AC"/>
    <w:rsid w:val="009F0C75"/>
    <w:rsid w:val="00A0375E"/>
    <w:rsid w:val="00A37463"/>
    <w:rsid w:val="00A4676E"/>
    <w:rsid w:val="00A56079"/>
    <w:rsid w:val="00A57707"/>
    <w:rsid w:val="00A67A83"/>
    <w:rsid w:val="00A92FB5"/>
    <w:rsid w:val="00AA3C95"/>
    <w:rsid w:val="00AA438C"/>
    <w:rsid w:val="00AA5EDA"/>
    <w:rsid w:val="00AA7142"/>
    <w:rsid w:val="00AF1159"/>
    <w:rsid w:val="00AF20BD"/>
    <w:rsid w:val="00AF27A9"/>
    <w:rsid w:val="00AF65E3"/>
    <w:rsid w:val="00B02B2C"/>
    <w:rsid w:val="00B06E51"/>
    <w:rsid w:val="00B13363"/>
    <w:rsid w:val="00B210ED"/>
    <w:rsid w:val="00B2381D"/>
    <w:rsid w:val="00B25B97"/>
    <w:rsid w:val="00B50C7D"/>
    <w:rsid w:val="00B723B4"/>
    <w:rsid w:val="00B75C04"/>
    <w:rsid w:val="00B843C6"/>
    <w:rsid w:val="00B9395C"/>
    <w:rsid w:val="00BE3DC0"/>
    <w:rsid w:val="00BF43A3"/>
    <w:rsid w:val="00BF47FE"/>
    <w:rsid w:val="00C009B7"/>
    <w:rsid w:val="00C1384A"/>
    <w:rsid w:val="00C14CC2"/>
    <w:rsid w:val="00C17BD2"/>
    <w:rsid w:val="00C33B33"/>
    <w:rsid w:val="00C370F4"/>
    <w:rsid w:val="00C408F6"/>
    <w:rsid w:val="00C53750"/>
    <w:rsid w:val="00C8279F"/>
    <w:rsid w:val="00C842B0"/>
    <w:rsid w:val="00C914B8"/>
    <w:rsid w:val="00CA68AD"/>
    <w:rsid w:val="00CB012A"/>
    <w:rsid w:val="00CB4C3A"/>
    <w:rsid w:val="00CB70DB"/>
    <w:rsid w:val="00CC0798"/>
    <w:rsid w:val="00CC4384"/>
    <w:rsid w:val="00CC543E"/>
    <w:rsid w:val="00CD0E42"/>
    <w:rsid w:val="00CD2905"/>
    <w:rsid w:val="00CE0CFD"/>
    <w:rsid w:val="00D3062A"/>
    <w:rsid w:val="00D46DAF"/>
    <w:rsid w:val="00D577E0"/>
    <w:rsid w:val="00D63E95"/>
    <w:rsid w:val="00D6462C"/>
    <w:rsid w:val="00D70814"/>
    <w:rsid w:val="00D711E2"/>
    <w:rsid w:val="00D7426E"/>
    <w:rsid w:val="00D85114"/>
    <w:rsid w:val="00D92716"/>
    <w:rsid w:val="00DA644F"/>
    <w:rsid w:val="00DB2264"/>
    <w:rsid w:val="00DB43D4"/>
    <w:rsid w:val="00DC22B7"/>
    <w:rsid w:val="00DC4E78"/>
    <w:rsid w:val="00DC51A2"/>
    <w:rsid w:val="00DD1383"/>
    <w:rsid w:val="00DE15C4"/>
    <w:rsid w:val="00DF7DE6"/>
    <w:rsid w:val="00E2642A"/>
    <w:rsid w:val="00E32D64"/>
    <w:rsid w:val="00E41632"/>
    <w:rsid w:val="00E468F8"/>
    <w:rsid w:val="00E47734"/>
    <w:rsid w:val="00E5490D"/>
    <w:rsid w:val="00E54AE3"/>
    <w:rsid w:val="00E565DF"/>
    <w:rsid w:val="00E60F92"/>
    <w:rsid w:val="00E8136B"/>
    <w:rsid w:val="00E860B1"/>
    <w:rsid w:val="00E90F53"/>
    <w:rsid w:val="00E9429B"/>
    <w:rsid w:val="00EA370D"/>
    <w:rsid w:val="00EB0202"/>
    <w:rsid w:val="00EB4019"/>
    <w:rsid w:val="00EB69A4"/>
    <w:rsid w:val="00EC1A29"/>
    <w:rsid w:val="00EE6F0F"/>
    <w:rsid w:val="00F0104F"/>
    <w:rsid w:val="00F043B2"/>
    <w:rsid w:val="00F15B8F"/>
    <w:rsid w:val="00F34750"/>
    <w:rsid w:val="00F562B7"/>
    <w:rsid w:val="00F74AD8"/>
    <w:rsid w:val="00F7559E"/>
    <w:rsid w:val="00F81A5B"/>
    <w:rsid w:val="00F867B6"/>
    <w:rsid w:val="00FA0F4C"/>
    <w:rsid w:val="00FB22DF"/>
    <w:rsid w:val="00FC3E29"/>
    <w:rsid w:val="00FC57DB"/>
    <w:rsid w:val="00FD5723"/>
    <w:rsid w:val="00FE163F"/>
    <w:rsid w:val="00FE5A1E"/>
    <w:rsid w:val="00FF147E"/>
    <w:rsid w:val="03025845"/>
    <w:rsid w:val="08D279EF"/>
    <w:rsid w:val="0B2D79F3"/>
    <w:rsid w:val="0F451083"/>
    <w:rsid w:val="108628B1"/>
    <w:rsid w:val="150572EB"/>
    <w:rsid w:val="1809197A"/>
    <w:rsid w:val="19914F2C"/>
    <w:rsid w:val="19F45362"/>
    <w:rsid w:val="1BC51582"/>
    <w:rsid w:val="1DA87A8C"/>
    <w:rsid w:val="21EE3C28"/>
    <w:rsid w:val="24452A77"/>
    <w:rsid w:val="2633002C"/>
    <w:rsid w:val="2758774E"/>
    <w:rsid w:val="2B417EE3"/>
    <w:rsid w:val="38521F98"/>
    <w:rsid w:val="396604FC"/>
    <w:rsid w:val="3C9B5B15"/>
    <w:rsid w:val="411C75E7"/>
    <w:rsid w:val="430D499A"/>
    <w:rsid w:val="43E36E16"/>
    <w:rsid w:val="44384737"/>
    <w:rsid w:val="49364D3C"/>
    <w:rsid w:val="5212481A"/>
    <w:rsid w:val="530D02DF"/>
    <w:rsid w:val="5CE95247"/>
    <w:rsid w:val="5D521F6E"/>
    <w:rsid w:val="5E430F37"/>
    <w:rsid w:val="5E636316"/>
    <w:rsid w:val="6388198D"/>
    <w:rsid w:val="64DD5959"/>
    <w:rsid w:val="6A907CB9"/>
    <w:rsid w:val="6AA50A05"/>
    <w:rsid w:val="6B6F0793"/>
    <w:rsid w:val="70400485"/>
    <w:rsid w:val="70645F10"/>
    <w:rsid w:val="71FB71B7"/>
    <w:rsid w:val="733830D3"/>
    <w:rsid w:val="79AD70BA"/>
    <w:rsid w:val="7A4D6C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hd w:val="clear" w:color="auto" w:fill="FDFDFE"/>
      <w:autoSpaceDE w:val="0"/>
      <w:autoSpaceDN w:val="0"/>
      <w:spacing w:line="360" w:lineRule="auto"/>
      <w:ind w:firstLine="480" w:firstLineChars="200"/>
      <w:jc w:val="both"/>
    </w:pPr>
    <w:rPr>
      <w:rFonts w:ascii="宋体" w:hAnsi="宋体" w:eastAsia="宋体" w:cs="宋体"/>
      <w:sz w:val="24"/>
      <w:szCs w:val="24"/>
      <w:lang w:val="en-US" w:eastAsia="zh-CN" w:bidi="ar-SA"/>
    </w:rPr>
  </w:style>
  <w:style w:type="paragraph" w:styleId="2">
    <w:name w:val="heading 1"/>
    <w:basedOn w:val="1"/>
    <w:next w:val="1"/>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4"/>
    <w:semiHidden/>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1">
    <w:name w:val="Default Paragraph Font"/>
    <w:semiHidden/>
    <w:unhideWhenUsed/>
    <w:qFormat/>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4">
    <w:name w:val="Body Text"/>
    <w:basedOn w:val="1"/>
    <w:link w:val="21"/>
    <w:qFormat/>
    <w:uiPriority w:val="0"/>
    <w:pPr>
      <w:spacing w:after="120"/>
    </w:pPr>
  </w:style>
  <w:style w:type="paragraph" w:styleId="5">
    <w:name w:val="footer"/>
    <w:basedOn w:val="1"/>
    <w:link w:val="30"/>
    <w:qFormat/>
    <w:uiPriority w:val="99"/>
    <w:pPr>
      <w:tabs>
        <w:tab w:val="center" w:pos="4153"/>
        <w:tab w:val="right" w:pos="8306"/>
      </w:tabs>
      <w:snapToGrid w:val="0"/>
      <w:jc w:val="left"/>
    </w:pPr>
    <w:rPr>
      <w:sz w:val="18"/>
    </w:rPr>
  </w:style>
  <w:style w:type="paragraph" w:styleId="6">
    <w:name w:val="header"/>
    <w:basedOn w:val="1"/>
    <w:link w:val="29"/>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pPr>
    <w:rPr>
      <w:sz w:val="18"/>
    </w:rPr>
  </w:style>
  <w:style w:type="paragraph" w:styleId="7">
    <w:name w:val="toc 1"/>
    <w:basedOn w:val="1"/>
    <w:next w:val="1"/>
    <w:autoRedefine/>
    <w:unhideWhenUsed/>
    <w:qFormat/>
    <w:uiPriority w:val="39"/>
    <w:pPr>
      <w:widowControl/>
      <w:spacing w:after="100" w:line="259" w:lineRule="auto"/>
      <w:jc w:val="left"/>
    </w:pPr>
    <w:rPr>
      <w:rFonts w:asciiTheme="minorHAnsi" w:hAnsiTheme="minorHAnsi" w:eastAsiaTheme="minorEastAsia"/>
      <w:sz w:val="22"/>
    </w:rPr>
  </w:style>
  <w:style w:type="paragraph" w:styleId="8">
    <w:name w:val="toc 2"/>
    <w:basedOn w:val="1"/>
    <w:next w:val="1"/>
    <w:autoRedefine/>
    <w:unhideWhenUsed/>
    <w:qFormat/>
    <w:uiPriority w:val="39"/>
    <w:pPr>
      <w:widowControl/>
      <w:spacing w:after="100" w:line="259" w:lineRule="auto"/>
      <w:ind w:left="220"/>
      <w:jc w:val="left"/>
    </w:pPr>
    <w:rPr>
      <w:rFonts w:asciiTheme="minorHAnsi" w:hAnsiTheme="minorHAnsi" w:eastAsiaTheme="minorEastAsia"/>
      <w:sz w:val="22"/>
    </w:rPr>
  </w:style>
  <w:style w:type="paragraph" w:styleId="9">
    <w:name w:val="Normal (Web)"/>
    <w:basedOn w:val="1"/>
    <w:qFormat/>
    <w:uiPriority w:val="0"/>
    <w:rPr>
      <w:rFonts w:ascii="Times New Roman" w:hAnsi="Times New Roman" w:cs="Times New Roman"/>
    </w:rPr>
  </w:style>
  <w:style w:type="character" w:styleId="12">
    <w:name w:val="Hyperlink"/>
    <w:basedOn w:val="11"/>
    <w:unhideWhenUsed/>
    <w:qFormat/>
    <w:uiPriority w:val="99"/>
    <w:rPr>
      <w:color w:val="0026E5" w:themeColor="hyperlink"/>
      <w:u w:val="single"/>
      <w14:textFill>
        <w14:solidFill>
          <w14:schemeClr w14:val="hlink"/>
        </w14:solidFill>
      </w14:textFill>
    </w:rPr>
  </w:style>
  <w:style w:type="table" w:customStyle="1" w:styleId="13">
    <w:name w:val="Table Normal"/>
    <w:autoRedefine/>
    <w:semiHidden/>
    <w:unhideWhenUsed/>
    <w:qFormat/>
    <w:uiPriority w:val="2"/>
    <w:pPr>
      <w:widowControl w:val="0"/>
      <w:autoSpaceDE w:val="0"/>
      <w:autoSpaceDN w:val="0"/>
    </w:pPr>
    <w:rPr>
      <w:sz w:val="22"/>
      <w:lang w:eastAsia="en-US"/>
    </w:rPr>
    <w:tblPr>
      <w:tblCellMar>
        <w:top w:w="0" w:type="dxa"/>
        <w:left w:w="0" w:type="dxa"/>
        <w:bottom w:w="0" w:type="dxa"/>
        <w:right w:w="0" w:type="dxa"/>
      </w:tblCellMar>
    </w:tblPr>
  </w:style>
  <w:style w:type="paragraph" w:customStyle="1" w:styleId="14">
    <w:name w:val="无间隔1"/>
    <w:autoRedefine/>
    <w:qFormat/>
    <w:uiPriority w:val="0"/>
    <w:pPr>
      <w:widowControl w:val="0"/>
      <w:ind w:firstLine="600" w:firstLineChars="200"/>
      <w:jc w:val="both"/>
    </w:pPr>
    <w:rPr>
      <w:rFonts w:ascii="仿宋" w:hAnsi="仿宋" w:eastAsia="仿宋" w:cs="仿宋_GB2312"/>
      <w:color w:val="000000"/>
      <w:kern w:val="2"/>
      <w:sz w:val="30"/>
      <w:szCs w:val="30"/>
      <w:lang w:val="en-US" w:eastAsia="zh-CN" w:bidi="ar-SA"/>
    </w:rPr>
  </w:style>
  <w:style w:type="paragraph" w:customStyle="1" w:styleId="15">
    <w:name w:val="标准制订工作要则"/>
    <w:basedOn w:val="1"/>
    <w:autoRedefine/>
    <w:qFormat/>
    <w:uiPriority w:val="0"/>
    <w:pPr>
      <w:spacing w:before="158" w:beforeLines="50"/>
      <w:ind w:firstLine="723"/>
      <w:jc w:val="left"/>
    </w:pPr>
    <w:rPr>
      <w:rFonts w:ascii="Times New Roman" w:hAnsi="Times New Roman" w:eastAsia="黑体"/>
      <w:sz w:val="40"/>
      <w:szCs w:val="36"/>
    </w:rPr>
  </w:style>
  <w:style w:type="paragraph" w:customStyle="1" w:styleId="16">
    <w:name w:val="TOC 标题1"/>
    <w:basedOn w:val="2"/>
    <w:next w:val="1"/>
    <w:autoRedefine/>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54A1" w:themeColor="accent1" w:themeShade="BF"/>
      <w:kern w:val="0"/>
      <w:sz w:val="32"/>
      <w:szCs w:val="32"/>
    </w:rPr>
  </w:style>
  <w:style w:type="paragraph" w:customStyle="1" w:styleId="17">
    <w:name w:val="21bc9c4b-6a32-43e5-beaa-fd2d792c5735"/>
    <w:basedOn w:val="2"/>
    <w:next w:val="18"/>
    <w:link w:val="19"/>
    <w:qFormat/>
    <w:uiPriority w:val="0"/>
    <w:pPr>
      <w:adjustRightInd w:val="0"/>
      <w:spacing w:before="0" w:after="0" w:line="288" w:lineRule="auto"/>
      <w:ind w:firstLine="0" w:firstLineChars="0"/>
      <w:jc w:val="left"/>
    </w:pPr>
    <w:rPr>
      <w:rFonts w:ascii="微软雅黑" w:hAnsi="微软雅黑" w:eastAsia="微软雅黑" w:cs="黑体"/>
      <w:color w:val="000000"/>
      <w:sz w:val="32"/>
    </w:rPr>
  </w:style>
  <w:style w:type="paragraph" w:customStyle="1" w:styleId="18">
    <w:name w:val="acbfdd8b-e11b-4d36-88ff-6049b138f862"/>
    <w:basedOn w:val="4"/>
    <w:link w:val="20"/>
    <w:qFormat/>
    <w:uiPriority w:val="0"/>
    <w:pPr>
      <w:adjustRightInd w:val="0"/>
      <w:spacing w:after="0" w:line="288" w:lineRule="auto"/>
      <w:ind w:firstLine="0" w:firstLineChars="0"/>
      <w:jc w:val="left"/>
    </w:pPr>
    <w:rPr>
      <w:rFonts w:ascii="微软雅黑" w:hAnsi="微软雅黑" w:eastAsia="微软雅黑" w:cs="黑体"/>
      <w:color w:val="000000"/>
      <w:sz w:val="22"/>
    </w:rPr>
  </w:style>
  <w:style w:type="character" w:customStyle="1" w:styleId="19">
    <w:name w:val="21bc9c4b-6a32-43e5-beaa-fd2d792c5735 字符"/>
    <w:basedOn w:val="11"/>
    <w:link w:val="17"/>
    <w:qFormat/>
    <w:uiPriority w:val="0"/>
    <w:rPr>
      <w:rFonts w:ascii="微软雅黑" w:hAnsi="微软雅黑" w:eastAsia="微软雅黑" w:cs="黑体"/>
      <w:b/>
      <w:bCs/>
      <w:color w:val="000000"/>
      <w:kern w:val="44"/>
      <w:sz w:val="32"/>
      <w:szCs w:val="44"/>
      <w:shd w:val="clear" w:color="auto" w:fill="FDFDFE"/>
    </w:rPr>
  </w:style>
  <w:style w:type="character" w:customStyle="1" w:styleId="20">
    <w:name w:val="acbfdd8b-e11b-4d36-88ff-6049b138f862 字符"/>
    <w:basedOn w:val="11"/>
    <w:link w:val="18"/>
    <w:qFormat/>
    <w:uiPriority w:val="0"/>
    <w:rPr>
      <w:rFonts w:ascii="微软雅黑" w:hAnsi="微软雅黑" w:eastAsia="微软雅黑" w:cs="黑体"/>
      <w:color w:val="000000"/>
      <w:sz w:val="22"/>
      <w:szCs w:val="24"/>
      <w:shd w:val="clear" w:color="auto" w:fill="FDFDFE"/>
    </w:rPr>
  </w:style>
  <w:style w:type="character" w:customStyle="1" w:styleId="21">
    <w:name w:val="正文文本 字符"/>
    <w:basedOn w:val="11"/>
    <w:link w:val="4"/>
    <w:qFormat/>
    <w:uiPriority w:val="0"/>
    <w:rPr>
      <w:rFonts w:ascii="宋体" w:hAnsi="宋体" w:eastAsia="宋体" w:cs="宋体"/>
      <w:sz w:val="24"/>
      <w:szCs w:val="24"/>
      <w:shd w:val="clear" w:color="auto" w:fill="FDFDFE"/>
    </w:rPr>
  </w:style>
  <w:style w:type="paragraph" w:customStyle="1" w:styleId="22">
    <w:name w:val="71e7dc79-1ff7-45e8-997d-0ebda3762b91"/>
    <w:basedOn w:val="3"/>
    <w:next w:val="18"/>
    <w:link w:val="23"/>
    <w:qFormat/>
    <w:uiPriority w:val="0"/>
    <w:pPr>
      <w:adjustRightInd w:val="0"/>
      <w:spacing w:before="0" w:after="0" w:line="288" w:lineRule="auto"/>
      <w:ind w:firstLine="0" w:firstLineChars="0"/>
      <w:jc w:val="left"/>
    </w:pPr>
    <w:rPr>
      <w:rFonts w:ascii="微软雅黑" w:hAnsi="微软雅黑" w:eastAsia="微软雅黑" w:cs="黑体"/>
      <w:color w:val="000000"/>
      <w:sz w:val="28"/>
    </w:rPr>
  </w:style>
  <w:style w:type="character" w:customStyle="1" w:styleId="23">
    <w:name w:val="71e7dc79-1ff7-45e8-997d-0ebda3762b91 字符"/>
    <w:basedOn w:val="11"/>
    <w:link w:val="22"/>
    <w:qFormat/>
    <w:uiPriority w:val="0"/>
    <w:rPr>
      <w:rFonts w:ascii="微软雅黑" w:hAnsi="微软雅黑" w:eastAsia="微软雅黑" w:cs="黑体"/>
      <w:b/>
      <w:bCs/>
      <w:color w:val="000000"/>
      <w:sz w:val="28"/>
      <w:szCs w:val="32"/>
      <w:shd w:val="clear" w:color="auto" w:fill="FDFDFE"/>
    </w:rPr>
  </w:style>
  <w:style w:type="character" w:customStyle="1" w:styleId="24">
    <w:name w:val="标题 2 字符"/>
    <w:basedOn w:val="11"/>
    <w:link w:val="3"/>
    <w:semiHidden/>
    <w:qFormat/>
    <w:uiPriority w:val="0"/>
    <w:rPr>
      <w:rFonts w:asciiTheme="majorHAnsi" w:hAnsiTheme="majorHAnsi" w:eastAsiaTheme="majorEastAsia" w:cstheme="majorBidi"/>
      <w:b/>
      <w:bCs/>
      <w:sz w:val="32"/>
      <w:szCs w:val="32"/>
      <w:shd w:val="clear" w:color="auto" w:fill="FDFDFE"/>
    </w:rPr>
  </w:style>
  <w:style w:type="paragraph" w:customStyle="1" w:styleId="25">
    <w:name w:val="段"/>
    <w:autoRedefine/>
    <w:qFormat/>
    <w:uiPriority w:val="0"/>
    <w:pPr>
      <w:autoSpaceDE w:val="0"/>
      <w:autoSpaceDN w:val="0"/>
      <w:ind w:firstLine="200" w:firstLineChars="200"/>
      <w:jc w:val="both"/>
    </w:pPr>
    <w:rPr>
      <w:rFonts w:ascii="宋体" w:hAnsi="等线" w:eastAsia="等线" w:cs="等线"/>
      <w:sz w:val="21"/>
      <w:lang w:val="en-US" w:eastAsia="zh-CN" w:bidi="ar-SA"/>
    </w:rPr>
  </w:style>
  <w:style w:type="paragraph" w:customStyle="1" w:styleId="26">
    <w:name w:val="标准文件_段"/>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styleId="27">
    <w:name w:val="List Paragraph"/>
    <w:basedOn w:val="1"/>
    <w:unhideWhenUsed/>
    <w:qFormat/>
    <w:uiPriority w:val="99"/>
    <w:pPr>
      <w:ind w:firstLine="420"/>
    </w:pPr>
  </w:style>
  <w:style w:type="table" w:customStyle="1" w:styleId="28">
    <w:name w:val="无格式表格 41"/>
    <w:basedOn w:val="10"/>
    <w:autoRedefine/>
    <w:qFormat/>
    <w:uiPriority w:val="44"/>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character" w:customStyle="1" w:styleId="29">
    <w:name w:val="页眉 字符"/>
    <w:basedOn w:val="11"/>
    <w:link w:val="6"/>
    <w:qFormat/>
    <w:uiPriority w:val="99"/>
    <w:rPr>
      <w:rFonts w:ascii="宋体" w:hAnsi="宋体" w:eastAsia="宋体" w:cs="宋体"/>
      <w:sz w:val="18"/>
      <w:szCs w:val="24"/>
      <w:shd w:val="clear" w:color="auto" w:fill="FDFDFE"/>
    </w:rPr>
  </w:style>
  <w:style w:type="character" w:customStyle="1" w:styleId="30">
    <w:name w:val="页脚 字符"/>
    <w:basedOn w:val="11"/>
    <w:link w:val="5"/>
    <w:qFormat/>
    <w:uiPriority w:val="99"/>
    <w:rPr>
      <w:rFonts w:ascii="宋体" w:hAnsi="宋体" w:eastAsia="宋体" w:cs="宋体"/>
      <w:sz w:val="18"/>
      <w:szCs w:val="24"/>
      <w:shd w:val="clear" w:color="auto" w:fill="FDFDFE"/>
    </w:rPr>
  </w:style>
  <w:style w:type="paragraph" w:customStyle="1" w:styleId="31">
    <w:name w:val="TOC 标题2"/>
    <w:basedOn w:val="2"/>
    <w:next w:val="1"/>
    <w:unhideWhenUsed/>
    <w:qFormat/>
    <w:uiPriority w:val="39"/>
    <w:pPr>
      <w:widowControl/>
      <w:shd w:val="clear" w:color="auto" w:fill="auto"/>
      <w:autoSpaceDE/>
      <w:autoSpaceDN/>
      <w:spacing w:before="240" w:after="0" w:line="259" w:lineRule="auto"/>
      <w:ind w:firstLine="0" w:firstLineChars="0"/>
      <w:jc w:val="left"/>
      <w:outlineLvl w:val="9"/>
    </w:pPr>
    <w:rPr>
      <w:rFonts w:asciiTheme="majorHAnsi" w:hAnsiTheme="majorHAnsi" w:eastAsiaTheme="majorEastAsia" w:cstheme="majorBidi"/>
      <w:b w:val="0"/>
      <w:bCs w:val="0"/>
      <w:color w:val="2E54A1"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jpe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D7BC74-3508-4703-906C-EBCEF7FAD12F}">
  <ds:schemaRefs/>
</ds:datastoreItem>
</file>

<file path=docProps/app.xml><?xml version="1.0" encoding="utf-8"?>
<Properties xmlns="http://schemas.openxmlformats.org/officeDocument/2006/extended-properties" xmlns:vt="http://schemas.openxmlformats.org/officeDocument/2006/docPropsVTypes">
  <Template>Normal.dotm</Template>
  <Pages>26</Pages>
  <Words>496</Words>
  <Characters>571</Characters>
  <Lines>161</Lines>
  <Paragraphs>45</Paragraphs>
  <TotalTime>1</TotalTime>
  <ScaleCrop>false</ScaleCrop>
  <LinksUpToDate>false</LinksUpToDate>
  <CharactersWithSpaces>690</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2024-12-31T09:11:00Z</dcterms:created>
  <dc:creator>小平</dc:creator>
  <cp:lastModifiedBy>zouyong</cp:lastModifiedBy>
  <dcterms:modified xsi:type="dcterms:W3CDTF">2025-01-22T08:14:53Z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FB40501EA983452EBD6C40BA8B511E4E_13</vt:lpwstr>
  </property>
  <property fmtid="{D5CDD505-2E9C-101B-9397-08002B2CF9AE}" pid="4" name="KSOTemplateDocerSaveRecord">
    <vt:lpwstr>eyJoZGlkIjoiYmQzNGQ3MzJkZTU1MGIzZjFjYjNkMmEwMjE3YjE3NWMiLCJ1c2VySWQiOiI1NjMzNDg4NzgifQ==</vt:lpwstr>
  </property>
</Properties>
</file>