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4571C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BCE78A7">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AF789E4">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13.020"/>
                  </w:textInput>
                </w:ffData>
              </w:fldChar>
            </w:r>
            <w:bookmarkStart w:id="0" w:name="ICS"/>
            <w:r>
              <w:rPr>
                <w:rFonts w:hint="eastAsia" w:ascii="黑体" w:hAnsi="黑体" w:eastAsia="黑体"/>
                <w:sz w:val="21"/>
                <w:szCs w:val="21"/>
              </w:rPr>
              <w:instrText xml:space="preserve"> FORMTEXT </w:instrText>
            </w:r>
            <w:r>
              <w:rPr>
                <w:rFonts w:hint="eastAsia" w:ascii="黑体" w:hAnsi="黑体" w:eastAsia="黑体"/>
                <w:sz w:val="21"/>
                <w:szCs w:val="21"/>
              </w:rPr>
              <w:fldChar w:fldCharType="separate"/>
            </w:r>
            <w:r>
              <w:rPr>
                <w:rFonts w:hint="eastAsia" w:ascii="黑体" w:hAnsi="黑体" w:eastAsia="黑体"/>
                <w:sz w:val="21"/>
                <w:szCs w:val="21"/>
              </w:rPr>
              <w:t>13.020</w:t>
            </w:r>
            <w:r>
              <w:rPr>
                <w:rFonts w:hint="eastAsia" w:ascii="黑体" w:hAnsi="黑体" w:eastAsia="黑体"/>
                <w:sz w:val="21"/>
                <w:szCs w:val="21"/>
              </w:rPr>
              <w:fldChar w:fldCharType="end"/>
            </w:r>
            <w:bookmarkEnd w:id="0"/>
          </w:p>
        </w:tc>
      </w:tr>
      <w:tr w14:paraId="06A5D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8EAFB73">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8855"/>
            </w:tblGrid>
            <w:tr w14:paraId="5C297CA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29BD3F13">
                  <w:pPr>
                    <w:pStyle w:val="50"/>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bookmarkStart w:id="1" w:name="c1"/>
                  <w:r>
                    <w:fldChar w:fldCharType="begin">
                      <w:ffData>
                        <w:name w:val="c1"/>
                        <w:enabled/>
                        <w:calcOnExit w:val="0"/>
                        <w:textInput>
                          <w:default w:val="JSYX"/>
                          <w:maxLength w:val="7"/>
                        </w:textInput>
                      </w:ffData>
                    </w:fldChar>
                  </w:r>
                  <w:r>
                    <w:instrText xml:space="preserve">FORMTEXT</w:instrText>
                  </w:r>
                  <w:r>
                    <w:fldChar w:fldCharType="separate"/>
                  </w:r>
                  <w:r>
                    <w:t>JSYX</w:t>
                  </w:r>
                  <w:r>
                    <w:fldChar w:fldCharType="end"/>
                  </w:r>
                  <w:bookmarkEnd w:id="1"/>
                </w:p>
              </w:tc>
            </w:tr>
          </w:tbl>
          <w:p w14:paraId="3E9F7705">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Z 05"/>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Z 05</w:t>
            </w:r>
            <w:r>
              <w:rPr>
                <w:rFonts w:hint="eastAsia" w:ascii="黑体" w:hAnsi="黑体" w:eastAsia="黑体"/>
                <w:sz w:val="21"/>
                <w:szCs w:val="21"/>
              </w:rPr>
              <w:fldChar w:fldCharType="end"/>
            </w:r>
            <w:bookmarkEnd w:id="2"/>
          </w:p>
        </w:tc>
      </w:tr>
    </w:tbl>
    <w:p w14:paraId="22B6A463">
      <w:pPr>
        <w:pStyle w:val="51"/>
        <w:framePr w:w="9639" w:h="624" w:hRule="exact" w:hSpace="181" w:vSpace="181" w:wrap="around" w:hAnchor="page" w:x="1305" w:y="2269"/>
        <w:rPr>
          <w:rFonts w:hint="eastAsia" w:ascii="黑体" w:hAnsi="黑体" w:eastAsia="黑体"/>
          <w:b w:val="0"/>
          <w:bCs w:val="0"/>
          <w:w w:val="100"/>
          <w:sz w:val="48"/>
          <w:szCs w:val="48"/>
        </w:rPr>
      </w:pPr>
      <w:bookmarkStart w:id="3" w:name="c2"/>
      <w:bookmarkStart w:id="4" w:name="_Hlk26473981"/>
      <w:r>
        <w:rPr>
          <w:rFonts w:hint="eastAsia" w:ascii="黑体" w:eastAsia="黑体"/>
          <w:b w:val="0"/>
          <w:w w:val="100"/>
          <w:sz w:val="48"/>
        </w:rPr>
        <w:fldChar w:fldCharType="begin">
          <w:ffData>
            <w:name w:val="c2"/>
            <w:enabled/>
            <w:calcOnExit w:val="0"/>
            <w:textInput>
              <w:default w:val="江苏省渔业协会"/>
            </w:textInput>
          </w:ffData>
        </w:fldChar>
      </w:r>
      <w:r>
        <w:rPr>
          <w:rFonts w:hint="eastAsia" w:ascii="黑体" w:eastAsia="黑体"/>
          <w:b w:val="0"/>
          <w:w w:val="100"/>
          <w:sz w:val="48"/>
        </w:rPr>
        <w:instrText xml:space="preserve">FORMTEXT</w:instrText>
      </w:r>
      <w:r>
        <w:rPr>
          <w:rFonts w:hint="eastAsia" w:ascii="黑体" w:eastAsia="黑体"/>
          <w:b w:val="0"/>
          <w:w w:val="100"/>
          <w:sz w:val="48"/>
        </w:rPr>
        <w:fldChar w:fldCharType="separate"/>
      </w:r>
      <w:r>
        <w:rPr>
          <w:rFonts w:hint="eastAsia" w:ascii="黑体" w:eastAsia="黑体"/>
          <w:b w:val="0"/>
          <w:w w:val="100"/>
          <w:sz w:val="48"/>
        </w:rPr>
        <w:t>江苏省渔业协会</w:t>
      </w:r>
      <w:r>
        <w:rPr>
          <w:rFonts w:hint="eastAsia" w:ascii="黑体" w:eastAsia="黑体"/>
          <w:b w:val="0"/>
          <w:w w:val="100"/>
          <w:sz w:val="48"/>
        </w:rPr>
        <w:fldChar w:fldCharType="end"/>
      </w:r>
      <w:bookmarkEnd w:id="3"/>
      <w:r>
        <w:rPr>
          <w:rFonts w:hint="eastAsia" w:ascii="黑体" w:eastAsia="黑体"/>
          <w:b w:val="0"/>
          <w:w w:val="100"/>
          <w:sz w:val="48"/>
        </w:rPr>
        <w:t>团体</w:t>
      </w:r>
      <w:r>
        <w:rPr>
          <w:rFonts w:hint="eastAsia" w:ascii="黑体" w:hAnsi="黑体" w:eastAsia="黑体"/>
          <w:b w:val="0"/>
          <w:bCs w:val="0"/>
          <w:w w:val="100"/>
          <w:sz w:val="48"/>
          <w:szCs w:val="48"/>
        </w:rPr>
        <w:t>标准</w:t>
      </w:r>
    </w:p>
    <w:bookmarkEnd w:id="4"/>
    <w:p w14:paraId="53CD2C33">
      <w:pPr>
        <w:pStyle w:val="196"/>
        <w:framePr/>
      </w:pPr>
      <w:r>
        <w:t>T/</w:t>
      </w:r>
      <w:r>
        <w:rPr>
          <w:rFonts w:hint="eastAsia"/>
        </w:rPr>
        <w:t>JSYX</w:t>
      </w:r>
      <w:r>
        <w:t xml:space="preserve"> </w:t>
      </w:r>
      <w:r>
        <w:rPr>
          <w:rFonts w:hint="eastAsia"/>
        </w:rPr>
        <w:t>X</w:t>
      </w:r>
      <w:r>
        <w:rPr>
          <w:rFonts w:hAnsi="黑体"/>
        </w:rPr>
        <w:t>—</w:t>
      </w:r>
      <w:r>
        <w:rPr>
          <w:rFonts w:hint="eastAsia"/>
        </w:rPr>
        <w:t>XXXX</w:t>
      </w:r>
    </w:p>
    <w:p w14:paraId="01259040">
      <w:pPr>
        <w:pStyle w:val="197"/>
        <w:framePr/>
        <w:rPr>
          <w:rFonts w:hint="eastAsia" w:hAnsi="黑体"/>
        </w:rPr>
      </w:pPr>
      <w:r>
        <w:rPr>
          <w:rFonts w:hAnsi="黑体"/>
        </w:rPr>
        <w:fldChar w:fldCharType="begin">
          <w:ffData>
            <w:name w:val="OSTD_CODE"/>
            <w:enabled/>
            <w:calcOnExit w:val="0"/>
            <w:textInput/>
          </w:ffData>
        </w:fldChar>
      </w:r>
      <w:bookmarkStart w:id="5"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5"/>
    </w:p>
    <w:p w14:paraId="191B940F">
      <w:pPr>
        <w:spacing w:line="240" w:lineRule="auto"/>
        <w:rPr>
          <w:rFonts w:hint="eastAsia" w:ascii="黑体" w:hAnsi="黑体" w:eastAsia="黑体"/>
          <w:kern w:val="0"/>
          <w:sz w:val="10"/>
          <w:szCs w:val="10"/>
        </w:rPr>
      </w:pPr>
      <w:bookmarkStart w:id="27" w:name="_GoBack"/>
      <w:bookmarkEnd w:id="27"/>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20BCEC1">
      <w:pPr>
        <w:pStyle w:val="51"/>
        <w:framePr w:w="9639" w:h="6976" w:hRule="exact" w:hSpace="0" w:vSpace="0" w:wrap="around" w:hAnchor="page" w:y="6408"/>
        <w:jc w:val="center"/>
        <w:rPr>
          <w:rFonts w:hint="eastAsia" w:ascii="黑体" w:hAnsi="黑体" w:eastAsia="黑体"/>
          <w:b w:val="0"/>
          <w:bCs w:val="0"/>
          <w:w w:val="100"/>
        </w:rPr>
      </w:pPr>
    </w:p>
    <w:p w14:paraId="750A8E88">
      <w:pPr>
        <w:pStyle w:val="198"/>
        <w:framePr w:h="6974" w:hRule="exact" w:wrap="around" w:x="1419" w:anchorLock="1"/>
        <w:rPr>
          <w:rFonts w:hint="eastAsia"/>
          <w:spacing w:val="-3"/>
          <w:szCs w:val="52"/>
        </w:rPr>
      </w:pPr>
      <w:r>
        <w:rPr>
          <w:rFonts w:hint="eastAsia"/>
          <w:spacing w:val="-3"/>
          <w:szCs w:val="52"/>
        </w:rPr>
        <w:t>渔业养殖尾水“微生物+生态处理”</w:t>
      </w:r>
    </w:p>
    <w:p w14:paraId="2A079626">
      <w:pPr>
        <w:pStyle w:val="198"/>
        <w:framePr w:h="6974" w:hRule="exact" w:wrap="around" w:x="1419" w:anchorLock="1"/>
        <w:rPr>
          <w:rFonts w:hint="eastAsia"/>
        </w:rPr>
      </w:pPr>
      <w:r>
        <w:rPr>
          <w:rFonts w:hint="eastAsia"/>
          <w:spacing w:val="-3"/>
          <w:szCs w:val="52"/>
        </w:rPr>
        <w:t>技术规范</w:t>
      </w:r>
    </w:p>
    <w:p w14:paraId="0017EB4D">
      <w:pPr>
        <w:framePr w:w="9639" w:h="6974" w:hRule="exact" w:wrap="around" w:vAnchor="page" w:hAnchor="page" w:x="1419" w:y="6408" w:anchorLock="1"/>
        <w:ind w:left="-1418"/>
      </w:pPr>
    </w:p>
    <w:p w14:paraId="5FA438B2">
      <w:pPr>
        <w:pStyle w:val="126"/>
        <w:framePr w:w="9639" w:h="6974" w:hRule="exact" w:wrap="around" w:vAnchor="page" w:hAnchor="page" w:x="1419" w:y="6408" w:anchorLock="1"/>
        <w:textAlignment w:val="bottom"/>
        <w:rPr>
          <w:rFonts w:eastAsia="黑体"/>
          <w:szCs w:val="28"/>
        </w:rPr>
      </w:pPr>
      <w:r>
        <w:rPr>
          <w:rFonts w:eastAsia="黑体"/>
          <w:szCs w:val="28"/>
        </w:rPr>
        <w:t>Aquacultural tail water "Microbial + ecological treatment"</w:t>
      </w:r>
    </w:p>
    <w:p w14:paraId="30AAA4FE">
      <w:pPr>
        <w:pStyle w:val="126"/>
        <w:framePr w:w="9639" w:h="6974" w:hRule="exact" w:wrap="around" w:vAnchor="page" w:hAnchor="page" w:x="1419" w:y="6408" w:anchorLock="1"/>
        <w:textAlignment w:val="bottom"/>
        <w:rPr>
          <w:rFonts w:eastAsia="黑体"/>
          <w:szCs w:val="28"/>
        </w:rPr>
      </w:pPr>
      <w:r>
        <w:rPr>
          <w:rFonts w:eastAsia="黑体"/>
          <w:szCs w:val="28"/>
        </w:rPr>
        <w:t>Technical specification</w:t>
      </w:r>
    </w:p>
    <w:p w14:paraId="1D886AB6">
      <w:pPr>
        <w:framePr w:w="9639" w:h="6974" w:hRule="exact" w:wrap="around" w:vAnchor="page" w:hAnchor="page" w:x="1419" w:y="6408" w:anchorLock="1"/>
        <w:spacing w:line="760" w:lineRule="exact"/>
        <w:ind w:left="-1418"/>
      </w:pPr>
    </w:p>
    <w:p w14:paraId="15727F58">
      <w:pPr>
        <w:pStyle w:val="126"/>
        <w:framePr w:w="9639" w:h="6974" w:hRule="exact" w:wrap="around" w:vAnchor="page" w:hAnchor="page" w:x="1419" w:y="6408" w:anchorLock="1"/>
        <w:textAlignment w:val="bottom"/>
        <w:rPr>
          <w:rFonts w:eastAsia="黑体"/>
          <w:szCs w:val="28"/>
        </w:rPr>
      </w:pPr>
    </w:p>
    <w:p w14:paraId="648C016C">
      <w:pPr>
        <w:pStyle w:val="126"/>
        <w:framePr w:w="9639" w:h="6974" w:hRule="exact" w:wrap="around" w:vAnchor="page" w:hAnchor="page" w:x="1419" w:y="6408" w:anchorLock="1"/>
        <w:spacing w:before="440" w:after="160"/>
        <w:textAlignment w:val="bottom"/>
        <w:rPr>
          <w:sz w:val="24"/>
          <w:szCs w:val="28"/>
        </w:rPr>
      </w:pPr>
      <w:bookmarkStart w:id="6" w:name="下拉1"/>
      <w:r>
        <w:rPr>
          <w:rFonts w:hint="eastAsia"/>
          <w:sz w:val="24"/>
          <w:szCs w:val="28"/>
        </w:rPr>
        <w:t>（征求意见稿）</w:t>
      </w:r>
      <w:r>
        <w:rPr>
          <w:sz w:val="24"/>
          <w:szCs w:val="28"/>
        </w:rPr>
        <w:fldChar w:fldCharType="begin">
          <w:ffData>
            <w:name w:val="下拉1"/>
            <w:enabled w:val="0"/>
            <w:calcOnExit w:val="0"/>
            <w:ddList>
              <w:listEntry w:val=" "/>
              <w:listEntry w:val="草案版次选择"/>
              <w:listEntry w:val="（工作组讨论稿）"/>
              <w:listEntry w:val="（征求意见稿）"/>
              <w:listEntry w:val="（送审讨论稿）"/>
              <w:listEntry w:val="（送审稿）"/>
              <w:listEntry w:val="（报批稿）"/>
            </w:ddList>
          </w:ffData>
        </w:fldChar>
      </w:r>
      <w:r>
        <w:rPr>
          <w:sz w:val="24"/>
          <w:szCs w:val="28"/>
        </w:rPr>
        <w:instrText xml:space="preserve">FORMDROPDOWN</w:instrText>
      </w:r>
      <w:r>
        <w:rPr>
          <w:sz w:val="24"/>
          <w:szCs w:val="28"/>
        </w:rPr>
        <w:fldChar w:fldCharType="separate"/>
      </w:r>
      <w:r>
        <w:rPr>
          <w:sz w:val="24"/>
          <w:szCs w:val="28"/>
        </w:rPr>
        <w:fldChar w:fldCharType="end"/>
      </w:r>
      <w:bookmarkEnd w:id="6"/>
    </w:p>
    <w:p w14:paraId="6A1F7DC0">
      <w:pPr>
        <w:pStyle w:val="126"/>
        <w:framePr w:w="9639" w:h="6974" w:hRule="exact" w:wrap="around" w:vAnchor="page" w:hAnchor="page" w:x="1419" w:y="6408" w:anchorLock="1"/>
        <w:spacing w:before="180" w:line="240" w:lineRule="atLeast"/>
        <w:textAlignment w:val="bottom"/>
        <w:rPr>
          <w:sz w:val="21"/>
          <w:szCs w:val="28"/>
        </w:rPr>
      </w:pPr>
    </w:p>
    <w:p w14:paraId="55280FB5">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7" w:name="下拉2"/>
      <w:r>
        <w:rPr>
          <w:b/>
          <w:sz w:val="21"/>
          <w:szCs w:val="28"/>
        </w:rPr>
        <w:instrText xml:space="preserve"> FORMDROPDOWN </w:instrText>
      </w:r>
      <w:r>
        <w:rPr>
          <w:b/>
          <w:sz w:val="21"/>
          <w:szCs w:val="28"/>
        </w:rPr>
        <w:fldChar w:fldCharType="separate"/>
      </w:r>
      <w:r>
        <w:rPr>
          <w:b/>
          <w:sz w:val="21"/>
          <w:szCs w:val="28"/>
        </w:rPr>
        <w:fldChar w:fldCharType="end"/>
      </w:r>
      <w:bookmarkEnd w:id="7"/>
      <w:r>
        <w:rPr>
          <w:b/>
          <w:sz w:val="21"/>
          <w:szCs w:val="28"/>
        </w:rPr>
        <w:fldChar w:fldCharType="begin">
          <w:ffData>
            <w:enabled/>
            <w:calcOnExit w:val="0"/>
            <w:ddList>
              <w:listEntry w:val=" "/>
              <w:listEntry w:val="在提交反馈意见时，请将您知道的相关专利连同支持性文件一并附上。"/>
            </w:ddList>
          </w:ffData>
        </w:fldChar>
      </w:r>
      <w:r>
        <w:rPr>
          <w:b/>
          <w:sz w:val="21"/>
          <w:szCs w:val="28"/>
        </w:rPr>
        <w:instrText xml:space="preserve"> FORMDROPDOWN </w:instrText>
      </w:r>
      <w:r>
        <w:rPr>
          <w:b/>
          <w:sz w:val="21"/>
          <w:szCs w:val="28"/>
        </w:rPr>
        <w:fldChar w:fldCharType="separate"/>
      </w:r>
      <w:r>
        <w:rPr>
          <w:b/>
          <w:sz w:val="21"/>
          <w:szCs w:val="28"/>
        </w:rPr>
        <w:fldChar w:fldCharType="end"/>
      </w:r>
    </w:p>
    <w:p w14:paraId="7CEF6E3D">
      <w:pPr>
        <w:pStyle w:val="194"/>
        <w:framePr w:wrap="around" w:y="14176"/>
      </w:pPr>
      <w:r>
        <w:rPr>
          <w:rFonts w:hint="eastAsia"/>
        </w:rPr>
        <w:t>XXXX</w:t>
      </w:r>
      <w:r>
        <w:t xml:space="preserve"> </w:t>
      </w:r>
      <w:r>
        <w:rPr>
          <w:rFonts w:ascii="黑体"/>
        </w:rPr>
        <w:t>-</w:t>
      </w:r>
      <w:r>
        <w:t xml:space="preserve"> </w:t>
      </w:r>
      <w:bookmarkStart w:id="8" w:name="PLSH_DATE_M"/>
      <w:r>
        <w:rPr>
          <w:rFonts w:hint="eastAsia"/>
        </w:rPr>
        <w:t>XX</w:t>
      </w:r>
      <w:bookmarkEnd w:id="8"/>
      <w:r>
        <w:t xml:space="preserve"> </w:t>
      </w:r>
      <w:r>
        <w:rPr>
          <w:rFonts w:ascii="黑体"/>
        </w:rPr>
        <w:t>-</w:t>
      </w:r>
      <w:r>
        <w:t xml:space="preserve"> </w:t>
      </w:r>
      <w:bookmarkStart w:id="9" w:name="PLSH_DATE_D"/>
      <w:r>
        <w:rPr>
          <w:rFonts w:hint="eastAsia"/>
        </w:rPr>
        <w:t>XX</w:t>
      </w:r>
      <w:bookmarkEnd w:id="9"/>
      <w:r>
        <w:rPr>
          <w:rFonts w:hint="eastAsia"/>
        </w:rPr>
        <w:t>发布</w:t>
      </w:r>
    </w:p>
    <w:p w14:paraId="0865120D">
      <w:pPr>
        <w:pStyle w:val="195"/>
        <w:framePr w:wrap="around" w:y="14176"/>
      </w:pPr>
      <w:bookmarkStart w:id="10" w:name="CROT_DATE_Y"/>
      <w:r>
        <w:rPr>
          <w:rFonts w:hint="eastAsia"/>
        </w:rPr>
        <w:t>XXXX</w:t>
      </w:r>
      <w:bookmarkEnd w:id="10"/>
      <w:r>
        <w:t xml:space="preserve"> </w:t>
      </w:r>
      <w:r>
        <w:rPr>
          <w:rFonts w:ascii="黑体"/>
        </w:rPr>
        <w:t>-</w:t>
      </w:r>
      <w:r>
        <w:t xml:space="preserve"> </w:t>
      </w:r>
      <w:bookmarkStart w:id="11" w:name="CROT_DATE_M"/>
      <w:r>
        <w:rPr>
          <w:rFonts w:hint="eastAsia"/>
        </w:rPr>
        <w:t>XX</w:t>
      </w:r>
      <w:bookmarkEnd w:id="11"/>
      <w:r>
        <w:t xml:space="preserve"> </w:t>
      </w:r>
      <w:r>
        <w:rPr>
          <w:rFonts w:ascii="黑体"/>
        </w:rPr>
        <w:t>-</w:t>
      </w:r>
      <w:r>
        <w:t xml:space="preserve"> </w:t>
      </w:r>
      <w:bookmarkStart w:id="12" w:name="CROT_DATE_D"/>
      <w:r>
        <w:rPr>
          <w:rFonts w:hint="eastAsia"/>
        </w:rPr>
        <w:t>XX</w:t>
      </w:r>
      <w:bookmarkEnd w:id="12"/>
      <w:r>
        <w:rPr>
          <w:rFonts w:hint="eastAsia"/>
        </w:rPr>
        <w:t>实施</w:t>
      </w:r>
    </w:p>
    <w:p w14:paraId="287221D0">
      <w:pPr>
        <w:pStyle w:val="152"/>
        <w:framePr w:h="584" w:hRule="exact" w:hSpace="181" w:vSpace="181" w:wrap="around" w:y="14800"/>
        <w:rPr>
          <w:rFonts w:hint="eastAsia" w:hAnsi="黑体"/>
        </w:rPr>
      </w:pPr>
      <w:bookmarkStart w:id="13" w:name="fm"/>
      <w:r>
        <w:rPr>
          <w:rFonts w:hint="eastAsia" w:hAnsi="黑体"/>
          <w:w w:val="100"/>
          <w:sz w:val="28"/>
        </w:rPr>
        <w:fldChar w:fldCharType="begin">
          <w:ffData>
            <w:name w:val="fm"/>
            <w:enabled/>
            <w:calcOnExit w:val="0"/>
            <w:textInput>
              <w:default w:val="江苏省渔业协会"/>
            </w:textInput>
          </w:ffData>
        </w:fldChar>
      </w:r>
      <w:r>
        <w:rPr>
          <w:rFonts w:hint="eastAsia" w:hAnsi="黑体"/>
          <w:w w:val="100"/>
          <w:sz w:val="28"/>
        </w:rPr>
        <w:instrText xml:space="preserve">FORMTEXT</w:instrText>
      </w:r>
      <w:r>
        <w:rPr>
          <w:rFonts w:hint="eastAsia" w:hAnsi="黑体"/>
          <w:w w:val="100"/>
          <w:sz w:val="28"/>
        </w:rPr>
        <w:fldChar w:fldCharType="separate"/>
      </w:r>
      <w:r>
        <w:rPr>
          <w:rFonts w:hint="eastAsia" w:hAnsi="黑体"/>
          <w:w w:val="100"/>
          <w:sz w:val="28"/>
        </w:rPr>
        <w:t>江苏省渔业协会</w:t>
      </w:r>
      <w:r>
        <w:rPr>
          <w:rFonts w:hint="eastAsia" w:hAnsi="黑体"/>
          <w:w w:val="100"/>
          <w:sz w:val="28"/>
        </w:rPr>
        <w:fldChar w:fldCharType="end"/>
      </w:r>
      <w:bookmarkEnd w:id="13"/>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157E66C3">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pgNumType w:fmt="upperRoman"/>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54FA0E9">
      <w:pPr>
        <w:pStyle w:val="90"/>
        <w:spacing w:before="900" w:after="360"/>
      </w:pPr>
      <w:bookmarkStart w:id="14" w:name="BookMark2"/>
      <w:r>
        <w:rPr>
          <w:spacing w:val="320"/>
        </w:rPr>
        <w:t>前</w:t>
      </w:r>
      <w:r>
        <w:t>言</w:t>
      </w:r>
    </w:p>
    <w:bookmarkEnd w:id="14"/>
    <w:sdt>
      <w:sdtPr>
        <w:tag w:val="NEW_STAND_NAME"/>
        <w:id w:val="595910757"/>
        <w:lock w:val="sdtLocked"/>
        <w:placeholder>
          <w:docPart w:val="FDAC648EA6884F06ABE822C1C845BA5B"/>
        </w:placeholder>
      </w:sdtPr>
      <w:sdtEndPr>
        <w:rPr>
          <w:rFonts w:hint="eastAsia"/>
        </w:rPr>
      </w:sdtEndPr>
      <w:sdtContent>
        <w:p w14:paraId="32C65817">
          <w:pPr>
            <w:pStyle w:val="57"/>
            <w:ind w:firstLine="420"/>
          </w:pPr>
          <w:bookmarkStart w:id="15" w:name="NEW_STAND_NAME"/>
          <w:bookmarkStart w:id="16" w:name="BookMark4"/>
          <w:r>
            <w:rPr>
              <w:rFonts w:hint="eastAsia"/>
            </w:rPr>
            <w:t>本文件按照GB/T 1.1—2020《标准化工作导则  第1部分：标准化文件的结构和起草规则》的规则起草。</w:t>
          </w:r>
        </w:p>
        <w:p w14:paraId="7E2E42B1">
          <w:pPr>
            <w:pStyle w:val="57"/>
            <w:ind w:firstLine="420"/>
          </w:pPr>
          <w:r>
            <w:rPr>
              <w:rFonts w:hint="eastAsia"/>
            </w:rPr>
            <w:t>注意本文件的某些内容可能涉及专利。本文件的发布机构不承担识别专利的责任。</w:t>
          </w:r>
        </w:p>
        <w:p w14:paraId="4FC1866C">
          <w:pPr>
            <w:pStyle w:val="57"/>
            <w:ind w:firstLine="420"/>
          </w:pPr>
          <w:r>
            <w:rPr>
              <w:rFonts w:hint="eastAsia"/>
            </w:rPr>
            <w:t>本文件由南京万瑞环境科技有限公司提出。</w:t>
          </w:r>
        </w:p>
        <w:p w14:paraId="4E4EBC78">
          <w:pPr>
            <w:pStyle w:val="57"/>
            <w:ind w:firstLine="420"/>
          </w:pPr>
          <w:r>
            <w:rPr>
              <w:rFonts w:hint="eastAsia"/>
            </w:rPr>
            <w:t>本文件由江苏省渔业协会归口。</w:t>
          </w:r>
        </w:p>
        <w:p w14:paraId="3DA11C43">
          <w:pPr>
            <w:pStyle w:val="57"/>
            <w:ind w:firstLine="420"/>
          </w:pPr>
          <w:r>
            <w:rPr>
              <w:rFonts w:hint="eastAsia"/>
            </w:rPr>
            <w:t>本文件起草单位：南京万瑞环境科技有限公司。</w:t>
          </w:r>
        </w:p>
        <w:p w14:paraId="62E11384">
          <w:pPr>
            <w:pStyle w:val="57"/>
            <w:ind w:firstLine="420"/>
          </w:pPr>
          <w:r>
            <w:rPr>
              <w:rFonts w:hint="eastAsia"/>
            </w:rPr>
            <w:t xml:space="preserve">本文件主要起草人：黄立平、冯杰、陈文文、江婷婷、魏锋、李伟科、孙麒、史武杰、朱民波、李娜娜、李昂。 </w:t>
          </w:r>
        </w:p>
      </w:sdtContent>
    </w:sdt>
    <w:bookmarkEnd w:id="15"/>
    <w:p w14:paraId="7789547E">
      <w:pPr>
        <w:pStyle w:val="234"/>
        <w:sectPr>
          <w:headerReference r:id="rId9" w:type="default"/>
          <w:footerReference r:id="rId10" w:type="default"/>
          <w:pgSz w:w="11906" w:h="16838"/>
          <w:pgMar w:top="1928" w:right="1134" w:bottom="1134" w:left="1134" w:header="1418" w:footer="1134" w:gutter="284"/>
          <w:pgNumType w:fmt="upperRoman" w:start="1"/>
          <w:cols w:space="425" w:num="1"/>
          <w:formProt w:val="0"/>
          <w:docGrid w:linePitch="312" w:charSpace="0"/>
        </w:sectPr>
      </w:pPr>
      <w:bookmarkStart w:id="17" w:name="_Toc17233326"/>
      <w:bookmarkStart w:id="18" w:name="_Toc26648466"/>
      <w:bookmarkStart w:id="19" w:name="_Toc17233334"/>
      <w:bookmarkStart w:id="20" w:name="_Toc24884212"/>
      <w:bookmarkStart w:id="21" w:name="_Toc24884219"/>
    </w:p>
    <w:p w14:paraId="4C64FA7B">
      <w:pPr>
        <w:pStyle w:val="235"/>
      </w:pPr>
      <w:r>
        <w:rPr>
          <w:rFonts w:hint="eastAsia"/>
          <w:spacing w:val="8"/>
          <w:sz w:val="31"/>
          <w:szCs w:val="31"/>
        </w:rPr>
        <w:t>渔业养殖尾水“微生物+生态处理”技术规范</w:t>
      </w:r>
    </w:p>
    <w:p w14:paraId="58EA271C">
      <w:pPr>
        <w:pStyle w:val="236"/>
        <w:spacing w:before="240" w:after="240"/>
      </w:pPr>
      <w:bookmarkStart w:id="22" w:name="_Toc466900224"/>
      <w:r>
        <w:t>范围</w:t>
      </w:r>
      <w:bookmarkEnd w:id="22"/>
    </w:p>
    <w:p w14:paraId="11EA019B">
      <w:pPr>
        <w:pStyle w:val="13"/>
        <w:spacing w:after="0" w:line="310" w:lineRule="exact"/>
        <w:ind w:left="420" w:leftChars="200"/>
        <w:rPr>
          <w:rFonts w:ascii="宋体" w:hAnsi="Times New Roman"/>
        </w:rPr>
      </w:pPr>
      <w:r>
        <w:rPr>
          <w:rFonts w:hint="eastAsia" w:ascii="宋体" w:hAnsi="Times New Roman"/>
        </w:rPr>
        <w:t>本文件规定了渔业养殖尾水“微生物+生态处理”技术规范的术语和定义、处理设施、生物配置、尾水处理、尾水排放、运行维护等技术要求。</w:t>
      </w:r>
    </w:p>
    <w:p w14:paraId="29EB42A0">
      <w:pPr>
        <w:pStyle w:val="13"/>
        <w:spacing w:after="0" w:line="310" w:lineRule="exact"/>
        <w:ind w:left="420" w:leftChars="200"/>
        <w:rPr>
          <w:rFonts w:ascii="宋体" w:hAnsi="Times New Roman"/>
        </w:rPr>
      </w:pPr>
      <w:r>
        <w:rPr>
          <w:rFonts w:hint="eastAsia" w:ascii="宋体" w:hAnsi="Times New Roman"/>
        </w:rPr>
        <w:t>本文件适用于规模化渔业养殖尾水生态处理，其他养殖方式可参照使用。</w:t>
      </w:r>
    </w:p>
    <w:p w14:paraId="4167CBB7">
      <w:pPr>
        <w:pStyle w:val="236"/>
        <w:spacing w:before="240" w:after="240"/>
      </w:pPr>
      <w:bookmarkStart w:id="23" w:name="_Toc466900225"/>
      <w:r>
        <w:t>规范性引用文件</w:t>
      </w:r>
      <w:bookmarkEnd w:id="23"/>
    </w:p>
    <w:p w14:paraId="45FF1248">
      <w:pPr>
        <w:autoSpaceDE w:val="0"/>
        <w:autoSpaceDN w:val="0"/>
        <w:spacing w:line="310" w:lineRule="exact"/>
        <w:ind w:firstLine="420" w:firstLineChars="200"/>
        <w:rPr>
          <w:rFonts w:ascii="宋体" w:hAnsi="Times New Roman"/>
        </w:rPr>
      </w:pPr>
      <w:r>
        <w:rPr>
          <w:rFonts w:ascii="宋体" w:hAns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1CD4990">
      <w:pPr>
        <w:pStyle w:val="234"/>
        <w:spacing w:line="310" w:lineRule="exact"/>
        <w:rPr>
          <w:rFonts w:ascii="Times New Roman"/>
        </w:rPr>
      </w:pPr>
      <w:r>
        <w:rPr>
          <w:rFonts w:hint="eastAsia" w:ascii="Times New Roman"/>
        </w:rPr>
        <w:t>GB 3838-2002 地表水环境质量标准</w:t>
      </w:r>
    </w:p>
    <w:p w14:paraId="29C0D358">
      <w:pPr>
        <w:pStyle w:val="234"/>
        <w:spacing w:line="310" w:lineRule="exact"/>
        <w:rPr>
          <w:rFonts w:ascii="Times New Roman"/>
        </w:rPr>
      </w:pPr>
      <w:r>
        <w:rPr>
          <w:rFonts w:hint="eastAsia" w:ascii="Times New Roman"/>
        </w:rPr>
        <w:t>DB32 4043-2021 池塘养殖尾水排放标准</w:t>
      </w:r>
    </w:p>
    <w:p w14:paraId="1489A102">
      <w:pPr>
        <w:pStyle w:val="236"/>
        <w:numPr>
          <w:ilvl w:val="0"/>
          <w:numId w:val="0"/>
        </w:numPr>
        <w:spacing w:before="240" w:after="240"/>
        <w:rPr>
          <w:spacing w:val="6"/>
          <w:sz w:val="20"/>
        </w:rPr>
      </w:pPr>
      <w:r>
        <w:t xml:space="preserve">3  </w:t>
      </w:r>
      <w:r>
        <w:rPr>
          <w:rFonts w:hint="eastAsia"/>
          <w:spacing w:val="6"/>
          <w:sz w:val="20"/>
        </w:rPr>
        <w:t>术语和定义</w:t>
      </w:r>
    </w:p>
    <w:p w14:paraId="37470ABD">
      <w:pPr>
        <w:pStyle w:val="234"/>
        <w:spacing w:line="310" w:lineRule="exact"/>
        <w:rPr>
          <w:rFonts w:ascii="Times New Roman"/>
        </w:rPr>
      </w:pPr>
      <w:r>
        <w:rPr>
          <w:rFonts w:hint="eastAsia" w:ascii="Times New Roman"/>
        </w:rPr>
        <w:t>下列术语和定义适用于本文件。</w:t>
      </w:r>
    </w:p>
    <w:p w14:paraId="3B73B33A">
      <w:pPr>
        <w:pStyle w:val="236"/>
        <w:numPr>
          <w:ilvl w:val="0"/>
          <w:numId w:val="0"/>
        </w:numPr>
        <w:adjustRightInd w:val="0"/>
        <w:snapToGrid w:val="0"/>
        <w:spacing w:before="120" w:beforeLines="50" w:after="120" w:afterLines="50"/>
        <w:rPr>
          <w:rFonts w:hint="eastAsia" w:hAnsi="黑体" w:cs="黑体"/>
          <w:kern w:val="2"/>
          <w:szCs w:val="24"/>
        </w:rPr>
      </w:pPr>
      <w:r>
        <w:rPr>
          <w:rFonts w:hint="eastAsia" w:hAnsi="黑体"/>
        </w:rPr>
        <w:t>3.1  渔</w:t>
      </w:r>
      <w:r>
        <w:rPr>
          <w:rFonts w:hint="eastAsia" w:hAnsi="黑体" w:cs="黑体"/>
          <w:kern w:val="2"/>
          <w:szCs w:val="24"/>
        </w:rPr>
        <w:t xml:space="preserve">业养殖尾水 </w:t>
      </w:r>
      <w:r>
        <w:rPr>
          <w:rFonts w:ascii="Times New Roman"/>
          <w:kern w:val="2"/>
          <w:szCs w:val="24"/>
        </w:rPr>
        <w:t xml:space="preserve"> </w:t>
      </w:r>
      <w:r>
        <w:rPr>
          <w:rFonts w:ascii="Times New Roman"/>
        </w:rPr>
        <w:t>aquacultural tail water</w:t>
      </w:r>
    </w:p>
    <w:p w14:paraId="60AF853F">
      <w:pPr>
        <w:pStyle w:val="234"/>
        <w:spacing w:line="310" w:lineRule="exact"/>
        <w:rPr>
          <w:rFonts w:ascii="Times New Roman"/>
        </w:rPr>
      </w:pPr>
      <w:r>
        <w:rPr>
          <w:rFonts w:hint="eastAsia" w:ascii="Times New Roman"/>
        </w:rPr>
        <w:t>在渔业养殖过程中，或养殖结束后，自养殖区排出的、未经处理的养殖水。</w:t>
      </w:r>
    </w:p>
    <w:p w14:paraId="48979F2C">
      <w:pPr>
        <w:pStyle w:val="236"/>
        <w:numPr>
          <w:ilvl w:val="0"/>
          <w:numId w:val="0"/>
        </w:numPr>
        <w:adjustRightInd w:val="0"/>
        <w:snapToGrid w:val="0"/>
        <w:spacing w:before="120" w:beforeLines="50" w:after="120" w:afterLines="50"/>
        <w:rPr>
          <w:rFonts w:hint="eastAsia" w:hAnsi="黑体"/>
        </w:rPr>
      </w:pPr>
      <w:r>
        <w:rPr>
          <w:rFonts w:hint="eastAsia" w:hAnsi="黑体"/>
        </w:rPr>
        <w:t xml:space="preserve">3.2  尾水收集系统 </w:t>
      </w:r>
      <w:r>
        <w:rPr>
          <w:rFonts w:hint="eastAsia" w:ascii="Times New Roman"/>
        </w:rPr>
        <w:t xml:space="preserve"> tailwater collection system</w:t>
      </w:r>
    </w:p>
    <w:p w14:paraId="7BC23A4A">
      <w:pPr>
        <w:pStyle w:val="236"/>
        <w:numPr>
          <w:ilvl w:val="0"/>
          <w:numId w:val="0"/>
        </w:numPr>
        <w:adjustRightInd w:val="0"/>
        <w:snapToGrid w:val="0"/>
        <w:spacing w:before="120" w:beforeLines="50" w:after="120" w:afterLines="50"/>
        <w:ind w:firstLine="420" w:firstLineChars="200"/>
        <w:rPr>
          <w:rFonts w:ascii="Times New Roman" w:eastAsia="宋体"/>
        </w:rPr>
      </w:pPr>
      <w:r>
        <w:rPr>
          <w:rFonts w:hint="eastAsia" w:ascii="Times New Roman" w:eastAsia="宋体"/>
        </w:rPr>
        <w:t>尾水自养殖区排出后，经过管道、沟渠、涵管、水闸、水坝等收集尾水的设备设施。</w:t>
      </w:r>
    </w:p>
    <w:p w14:paraId="65432AE2">
      <w:pPr>
        <w:pStyle w:val="236"/>
        <w:numPr>
          <w:ilvl w:val="0"/>
          <w:numId w:val="0"/>
        </w:numPr>
        <w:adjustRightInd w:val="0"/>
        <w:snapToGrid w:val="0"/>
        <w:spacing w:before="120" w:beforeLines="50" w:after="120" w:afterLines="50"/>
        <w:rPr>
          <w:rFonts w:hint="eastAsia" w:hAnsi="黑体"/>
        </w:rPr>
      </w:pPr>
      <w:r>
        <w:rPr>
          <w:rFonts w:hint="eastAsia" w:hAnsi="黑体"/>
        </w:rPr>
        <w:t xml:space="preserve">3.3  尾水治理区域 </w:t>
      </w:r>
      <w:r>
        <w:rPr>
          <w:rFonts w:hint="eastAsia" w:ascii="Times New Roman"/>
        </w:rPr>
        <w:t xml:space="preserve"> tailwater treatment area</w:t>
      </w:r>
    </w:p>
    <w:p w14:paraId="5CD0FFA2">
      <w:pPr>
        <w:pStyle w:val="236"/>
        <w:numPr>
          <w:ilvl w:val="0"/>
          <w:numId w:val="0"/>
        </w:numPr>
        <w:adjustRightInd w:val="0"/>
        <w:snapToGrid w:val="0"/>
        <w:spacing w:before="120" w:beforeLines="50" w:after="120" w:afterLines="50"/>
        <w:ind w:firstLine="420" w:firstLineChars="200"/>
        <w:rPr>
          <w:rFonts w:ascii="Times New Roman" w:eastAsia="宋体"/>
        </w:rPr>
      </w:pPr>
      <w:r>
        <w:rPr>
          <w:rFonts w:hint="eastAsia" w:ascii="Times New Roman" w:eastAsia="宋体"/>
        </w:rPr>
        <w:t>包括调节沉淀区、功能降解区、生态净化区，通过对来自尾水收集系统的水采用沉降、沉淀、过滤等预处理措施，采用增氧曝气、投加功能性微生物、种植水生植物、投放水生动物等深度处理措施，实现对污染物的集中降解处理，使尾水经治理区处理后能够达标排放的区域。</w:t>
      </w:r>
    </w:p>
    <w:p w14:paraId="58EBDA65">
      <w:pPr>
        <w:pStyle w:val="236"/>
        <w:numPr>
          <w:ilvl w:val="0"/>
          <w:numId w:val="0"/>
        </w:numPr>
        <w:adjustRightInd w:val="0"/>
        <w:snapToGrid w:val="0"/>
        <w:spacing w:before="120" w:beforeLines="50" w:after="120" w:afterLines="50"/>
        <w:rPr>
          <w:rFonts w:hint="eastAsia" w:hAnsi="黑体"/>
        </w:rPr>
      </w:pPr>
      <w:r>
        <w:rPr>
          <w:rFonts w:hint="eastAsia" w:hAnsi="黑体"/>
        </w:rPr>
        <w:t xml:space="preserve">3.4 生物绳填料  </w:t>
      </w:r>
      <w:r>
        <w:rPr>
          <w:rFonts w:hint="eastAsia" w:ascii="Times New Roman"/>
        </w:rPr>
        <w:t>biological rope packing</w:t>
      </w:r>
    </w:p>
    <w:p w14:paraId="6B2627C9">
      <w:pPr>
        <w:pStyle w:val="236"/>
        <w:numPr>
          <w:ilvl w:val="0"/>
          <w:numId w:val="0"/>
        </w:numPr>
        <w:adjustRightInd w:val="0"/>
        <w:snapToGrid w:val="0"/>
        <w:spacing w:before="120" w:beforeLines="50" w:after="120" w:afterLines="50"/>
        <w:ind w:firstLine="420" w:firstLineChars="200"/>
        <w:rPr>
          <w:rFonts w:ascii="Times New Roman" w:eastAsia="宋体"/>
        </w:rPr>
      </w:pPr>
      <w:r>
        <w:rPr>
          <w:rFonts w:hint="eastAsia" w:ascii="Times New Roman" w:eastAsia="宋体"/>
        </w:rPr>
        <w:t>生物绳填料是将弹性填料和软性填料，采用蛇形辫带式编制方法混织制成的，有无数环状纤维结构的一种仿生水草。具有附着性好、接触面积大等特点，可为微生物生长提供空间。</w:t>
      </w:r>
    </w:p>
    <w:p w14:paraId="1BED77EF">
      <w:pPr>
        <w:pStyle w:val="236"/>
        <w:numPr>
          <w:ilvl w:val="0"/>
          <w:numId w:val="0"/>
        </w:numPr>
        <w:adjustRightInd w:val="0"/>
        <w:snapToGrid w:val="0"/>
        <w:spacing w:before="120" w:beforeLines="50" w:after="120" w:afterLines="50"/>
        <w:rPr>
          <w:rFonts w:hint="eastAsia" w:hAnsi="黑体"/>
        </w:rPr>
      </w:pPr>
      <w:r>
        <w:rPr>
          <w:rFonts w:hint="eastAsia" w:hAnsi="黑体"/>
        </w:rPr>
        <w:t xml:space="preserve">3.5　功能性微生物  </w:t>
      </w:r>
      <w:r>
        <w:rPr>
          <w:rFonts w:hint="eastAsia" w:ascii="Times New Roman"/>
        </w:rPr>
        <w:t>functional microorganism</w:t>
      </w:r>
    </w:p>
    <w:p w14:paraId="001EC162">
      <w:pPr>
        <w:pStyle w:val="236"/>
        <w:numPr>
          <w:ilvl w:val="0"/>
          <w:numId w:val="0"/>
        </w:numPr>
        <w:adjustRightInd w:val="0"/>
        <w:snapToGrid w:val="0"/>
        <w:spacing w:before="120" w:beforeLines="50" w:after="120" w:afterLines="50"/>
        <w:ind w:firstLine="420" w:firstLineChars="200"/>
        <w:rPr>
          <w:rFonts w:ascii="Times New Roman" w:eastAsia="宋体"/>
        </w:rPr>
      </w:pPr>
      <w:r>
        <w:rPr>
          <w:rFonts w:hint="eastAsia" w:ascii="Times New Roman" w:eastAsia="宋体"/>
        </w:rPr>
        <w:t>功能性微生物是指在渔业养殖尾水处理中具有特定功能，包括专项去除碳、氮、磷等污染物，或具有耐低温、耐抗生素、耐高盐等特性的微生物种群。</w:t>
      </w:r>
    </w:p>
    <w:p w14:paraId="36ED8313">
      <w:pPr>
        <w:pStyle w:val="236"/>
        <w:numPr>
          <w:ilvl w:val="0"/>
          <w:numId w:val="0"/>
        </w:numPr>
        <w:adjustRightInd w:val="0"/>
        <w:snapToGrid w:val="0"/>
        <w:spacing w:before="120" w:beforeLines="50" w:after="120" w:afterLines="50"/>
        <w:rPr>
          <w:rFonts w:hint="eastAsia" w:hAnsi="黑体"/>
        </w:rPr>
      </w:pPr>
      <w:r>
        <w:rPr>
          <w:rFonts w:hint="eastAsia" w:hAnsi="黑体"/>
        </w:rPr>
        <w:t xml:space="preserve">3.6　微生物+生态处理 </w:t>
      </w:r>
      <w:r>
        <w:rPr>
          <w:rFonts w:ascii="Times New Roman"/>
        </w:rPr>
        <w:t xml:space="preserve"> microbial + ecological treatment</w:t>
      </w:r>
    </w:p>
    <w:p w14:paraId="75D47632">
      <w:pPr>
        <w:pStyle w:val="236"/>
        <w:numPr>
          <w:ilvl w:val="0"/>
          <w:numId w:val="0"/>
        </w:numPr>
        <w:adjustRightInd w:val="0"/>
        <w:snapToGrid w:val="0"/>
        <w:spacing w:before="120" w:beforeLines="50" w:after="120" w:afterLines="50"/>
        <w:ind w:firstLine="420" w:firstLineChars="200"/>
        <w:rPr>
          <w:rFonts w:ascii="Times New Roman" w:eastAsia="宋体"/>
        </w:rPr>
      </w:pPr>
      <w:r>
        <w:rPr>
          <w:rFonts w:hint="eastAsia" w:ascii="Times New Roman" w:eastAsia="宋体"/>
        </w:rPr>
        <w:t>以微生物技术为主要措施构建生态系统，对尾水中的碳、氮、磷等元素进行吸附、吸收及转换利用，以达到净化水质，达标排放的目的。</w:t>
      </w:r>
    </w:p>
    <w:p w14:paraId="2F39C766">
      <w:pPr>
        <w:pStyle w:val="236"/>
        <w:numPr>
          <w:ilvl w:val="0"/>
          <w:numId w:val="0"/>
        </w:numPr>
        <w:spacing w:before="240" w:after="240"/>
      </w:pPr>
      <w:r>
        <w:rPr>
          <w:rFonts w:hint="eastAsia"/>
        </w:rPr>
        <w:t>4　工艺流程</w:t>
      </w:r>
    </w:p>
    <w:p w14:paraId="56A3505F">
      <w:pPr>
        <w:pStyle w:val="237"/>
        <w:numPr>
          <w:ilvl w:val="0"/>
          <w:numId w:val="0"/>
        </w:numPr>
        <w:spacing w:before="0" w:beforeLines="0" w:after="0" w:afterLines="0" w:line="310" w:lineRule="exact"/>
        <w:ind w:firstLine="420" w:firstLineChars="200"/>
        <w:rPr>
          <w:rFonts w:ascii="Times New Roman" w:eastAsia="宋体"/>
          <w:szCs w:val="20"/>
        </w:rPr>
      </w:pPr>
      <w:r>
        <w:rPr>
          <w:rFonts w:hint="eastAsia" w:ascii="Times New Roman" w:eastAsia="宋体"/>
          <w:szCs w:val="20"/>
        </w:rPr>
        <w:t>尾水自养殖区排出后，经尾水收集系统，进入尾水治理区域，通过调节沉淀区、功能降解区、生态净化区的集中处理，实现达标排放。</w:t>
      </w:r>
    </w:p>
    <w:p w14:paraId="524F2ED1">
      <w:pPr>
        <w:pStyle w:val="237"/>
        <w:numPr>
          <w:ilvl w:val="0"/>
          <w:numId w:val="0"/>
        </w:numPr>
        <w:spacing w:before="0" w:beforeLines="0" w:after="0" w:afterLines="0" w:line="310" w:lineRule="exact"/>
        <w:ind w:firstLine="420" w:firstLineChars="200"/>
        <w:rPr>
          <w:rFonts w:ascii="Times New Roman" w:eastAsia="宋体"/>
          <w:szCs w:val="20"/>
        </w:rPr>
      </w:pPr>
      <w:r>
        <w:rPr>
          <w:rFonts w:hint="eastAsia" w:ascii="Times New Roman" w:eastAsia="宋体"/>
          <w:szCs w:val="20"/>
        </w:rPr>
        <w:t>渔业养殖尾水“微生物+生态处理”技术工艺流程见图1。</w:t>
      </w:r>
    </w:p>
    <w:p w14:paraId="42C3EDC1">
      <w:pPr>
        <w:pStyle w:val="234"/>
      </w:pPr>
      <w:r>
        <w:drawing>
          <wp:inline distT="0" distB="0" distL="0" distR="0">
            <wp:extent cx="5937885" cy="2487295"/>
            <wp:effectExtent l="0" t="0" r="5715" b="8255"/>
            <wp:docPr id="91028002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280029" name="图片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937885" cy="2487295"/>
                    </a:xfrm>
                    <a:prstGeom prst="rect">
                      <a:avLst/>
                    </a:prstGeom>
                    <a:noFill/>
                  </pic:spPr>
                </pic:pic>
              </a:graphicData>
            </a:graphic>
          </wp:inline>
        </w:drawing>
      </w:r>
    </w:p>
    <w:p w14:paraId="7184D92E">
      <w:pPr>
        <w:pStyle w:val="234"/>
        <w:jc w:val="center"/>
      </w:pPr>
      <w:r>
        <w:rPr>
          <w:rFonts w:hint="eastAsia"/>
        </w:rPr>
        <w:t>图1 渔业养殖尾水“微生物+生态处理”技术工艺流程图</w:t>
      </w:r>
    </w:p>
    <w:p w14:paraId="108CB246">
      <w:pPr>
        <w:pStyle w:val="236"/>
        <w:numPr>
          <w:ilvl w:val="0"/>
          <w:numId w:val="0"/>
        </w:numPr>
        <w:spacing w:before="240" w:after="240"/>
      </w:pPr>
      <w:r>
        <w:rPr>
          <w:rFonts w:hint="eastAsia"/>
        </w:rPr>
        <w:t>5　处理设施</w:t>
      </w:r>
    </w:p>
    <w:p w14:paraId="009FE4F3">
      <w:pPr>
        <w:pStyle w:val="237"/>
        <w:numPr>
          <w:ilvl w:val="0"/>
          <w:numId w:val="0"/>
        </w:numPr>
        <w:spacing w:before="120" w:after="120"/>
        <w:rPr>
          <w:rFonts w:hint="eastAsia" w:hAnsi="黑体" w:cs="黑体"/>
          <w:kern w:val="2"/>
          <w:szCs w:val="24"/>
        </w:rPr>
      </w:pPr>
      <w:r>
        <w:rPr>
          <w:rFonts w:hint="eastAsia" w:hAnsi="黑体" w:cs="黑体"/>
          <w:kern w:val="2"/>
          <w:szCs w:val="24"/>
        </w:rPr>
        <w:t>5.1　尾水收集系统</w:t>
      </w:r>
    </w:p>
    <w:p w14:paraId="111EF6A0">
      <w:pPr>
        <w:pStyle w:val="237"/>
        <w:numPr>
          <w:ilvl w:val="0"/>
          <w:numId w:val="0"/>
        </w:numPr>
        <w:spacing w:before="0" w:beforeLines="0" w:after="0" w:afterLines="0" w:line="310" w:lineRule="exact"/>
        <w:ind w:firstLine="420" w:firstLineChars="200"/>
        <w:rPr>
          <w:rFonts w:ascii="Times New Roman" w:eastAsia="宋体"/>
          <w:szCs w:val="20"/>
        </w:rPr>
      </w:pPr>
      <w:r>
        <w:rPr>
          <w:rFonts w:hint="eastAsia" w:ascii="Times New Roman" w:eastAsia="宋体"/>
          <w:szCs w:val="20"/>
        </w:rPr>
        <w:t>根据养殖区域面积大小、水量合理设置，尾水收集系统占养殖区域面积比例为1-2％。可对养殖区域内原有河道、沟渠进行改造或新建沟渠、涵管、闸门等，汇集、收集尾水，排水口通过升降闸门控制水流、水量，以实现尾水重力流动为宜。</w:t>
      </w:r>
    </w:p>
    <w:p w14:paraId="6BE82261">
      <w:pPr>
        <w:pStyle w:val="237"/>
        <w:numPr>
          <w:ilvl w:val="0"/>
          <w:numId w:val="0"/>
        </w:numPr>
        <w:spacing w:before="120" w:after="120"/>
        <w:rPr>
          <w:rFonts w:hint="eastAsia" w:hAnsi="黑体" w:cs="黑体"/>
          <w:kern w:val="2"/>
          <w:szCs w:val="24"/>
        </w:rPr>
      </w:pPr>
      <w:r>
        <w:rPr>
          <w:rFonts w:hint="eastAsia" w:hAnsi="黑体" w:cs="黑体"/>
          <w:kern w:val="2"/>
          <w:szCs w:val="24"/>
        </w:rPr>
        <w:t>5.2　尾水治理区域</w:t>
      </w:r>
    </w:p>
    <w:p w14:paraId="437BC8CE">
      <w:pPr>
        <w:pStyle w:val="237"/>
        <w:numPr>
          <w:ilvl w:val="0"/>
          <w:numId w:val="0"/>
        </w:numPr>
        <w:spacing w:before="0" w:beforeLines="0" w:after="0" w:afterLines="0" w:line="310" w:lineRule="exact"/>
        <w:ind w:firstLine="420" w:firstLineChars="200"/>
        <w:rPr>
          <w:rFonts w:ascii="Times New Roman" w:eastAsia="宋体"/>
          <w:szCs w:val="20"/>
        </w:rPr>
      </w:pPr>
      <w:r>
        <w:rPr>
          <w:rFonts w:hint="eastAsia" w:ascii="Times New Roman" w:eastAsia="宋体"/>
          <w:szCs w:val="20"/>
        </w:rPr>
        <w:t>根据养殖区域面积大小、水量、水质、停留时间等因素合理设置，尾水治理区域面积占养殖区域面积比例约为6-20％。可利用养殖区域内原有河道、沟渠、池塘进行改造，也可以新建沟渠、池塘，沟渠以深1.5 m-2 m、宽15 m-30 m为宜,池塘以深2 m-2.5 m为宜。</w:t>
      </w:r>
    </w:p>
    <w:p w14:paraId="7ED355BB">
      <w:pPr>
        <w:pStyle w:val="237"/>
        <w:numPr>
          <w:ilvl w:val="0"/>
          <w:numId w:val="0"/>
        </w:numPr>
        <w:spacing w:before="120" w:after="120"/>
        <w:rPr>
          <w:rFonts w:hint="eastAsia" w:hAnsi="黑体" w:cs="黑体"/>
          <w:kern w:val="2"/>
          <w:szCs w:val="24"/>
        </w:rPr>
      </w:pPr>
      <w:r>
        <w:rPr>
          <w:rFonts w:hint="eastAsia" w:hAnsi="黑体" w:cs="黑体"/>
          <w:kern w:val="2"/>
          <w:szCs w:val="24"/>
        </w:rPr>
        <w:t>5.2.1　生态截滤坝</w:t>
      </w:r>
    </w:p>
    <w:p w14:paraId="0C8CF168">
      <w:pPr>
        <w:pStyle w:val="237"/>
        <w:numPr>
          <w:ilvl w:val="0"/>
          <w:numId w:val="0"/>
        </w:numPr>
        <w:spacing w:before="120" w:after="120" w:line="310" w:lineRule="exact"/>
        <w:ind w:firstLine="420" w:firstLineChars="200"/>
        <w:rPr>
          <w:rFonts w:ascii="Times New Roman" w:eastAsia="宋体"/>
          <w:szCs w:val="20"/>
        </w:rPr>
      </w:pPr>
      <w:r>
        <w:rPr>
          <w:rFonts w:hint="eastAsia" w:ascii="Times New Roman" w:eastAsia="宋体"/>
          <w:szCs w:val="20"/>
        </w:rPr>
        <w:t>坝长等于沟渠或河道宽，坝宽1 m-3 m，坝高以超过设计最高水位20 cm为宜。两侧墙体用多孔砖砌筑或用钢结构作为框架，坝体填充火山岩、沙砾、陶粒等大颗粒滤料，滤料用网袋或网箱装填。坝体上部用帆布覆盖，坝前设置钢丝网片拦截。尾水治理区一般设置2道生态截滤坝。</w:t>
      </w:r>
    </w:p>
    <w:p w14:paraId="1615C9AC">
      <w:pPr>
        <w:pStyle w:val="237"/>
        <w:numPr>
          <w:ilvl w:val="0"/>
          <w:numId w:val="0"/>
        </w:numPr>
        <w:spacing w:before="120" w:after="120"/>
        <w:rPr>
          <w:rFonts w:hint="eastAsia" w:hAnsi="黑体" w:cs="黑体"/>
          <w:kern w:val="2"/>
          <w:szCs w:val="24"/>
        </w:rPr>
      </w:pPr>
      <w:r>
        <w:rPr>
          <w:rFonts w:hint="eastAsia" w:hAnsi="黑体" w:cs="黑体"/>
          <w:kern w:val="2"/>
          <w:szCs w:val="24"/>
        </w:rPr>
        <w:t>5.2.2　生物仓</w:t>
      </w:r>
    </w:p>
    <w:p w14:paraId="5CE68960">
      <w:pPr>
        <w:pStyle w:val="237"/>
        <w:numPr>
          <w:ilvl w:val="0"/>
          <w:numId w:val="0"/>
        </w:numPr>
        <w:spacing w:before="120" w:after="120" w:line="310" w:lineRule="exact"/>
        <w:ind w:firstLine="420" w:firstLineChars="200"/>
        <w:rPr>
          <w:rFonts w:ascii="Times New Roman" w:eastAsia="宋体"/>
          <w:szCs w:val="20"/>
        </w:rPr>
      </w:pPr>
      <w:r>
        <w:rPr>
          <w:rFonts w:hint="eastAsia" w:ascii="Times New Roman" w:eastAsia="宋体"/>
          <w:szCs w:val="20"/>
        </w:rPr>
        <w:t>将聚氨酯海绵改性后制成的海绵多孔状填料和火山岩填料以一定的配比装填在网袋内，利用改性聚氨酯棉及火山岩孔隙率高、耐磨性好、亲水性好等特点，可过滤悬浮物和大颗粒物质，也能为微生物生长提供空间。</w:t>
      </w:r>
    </w:p>
    <w:p w14:paraId="13310311">
      <w:pPr>
        <w:pStyle w:val="237"/>
        <w:numPr>
          <w:ilvl w:val="0"/>
          <w:numId w:val="0"/>
        </w:numPr>
        <w:spacing w:before="120" w:after="120" w:line="310" w:lineRule="exact"/>
        <w:ind w:firstLine="420" w:firstLineChars="200"/>
        <w:rPr>
          <w:rFonts w:ascii="Times New Roman" w:eastAsia="宋体"/>
          <w:szCs w:val="20"/>
        </w:rPr>
      </w:pPr>
      <w:r>
        <w:rPr>
          <w:rFonts w:hint="eastAsia" w:ascii="Times New Roman" w:eastAsia="宋体"/>
          <w:szCs w:val="20"/>
        </w:rPr>
        <w:t>网袋的长度、直径，可根据布设地的水深、水面宽度确定。生物仓布设的总长度以沟渠、河道宽度的30倍为宜。</w:t>
      </w:r>
    </w:p>
    <w:p w14:paraId="5A4F58D3">
      <w:pPr>
        <w:pStyle w:val="237"/>
        <w:numPr>
          <w:ilvl w:val="0"/>
          <w:numId w:val="0"/>
        </w:numPr>
        <w:spacing w:before="120" w:after="120"/>
        <w:rPr>
          <w:rFonts w:hint="eastAsia" w:hAnsi="黑体" w:cs="黑体"/>
          <w:kern w:val="2"/>
          <w:szCs w:val="24"/>
        </w:rPr>
      </w:pPr>
      <w:r>
        <w:rPr>
          <w:rFonts w:hint="eastAsia" w:hAnsi="黑体" w:cs="黑体"/>
          <w:kern w:val="2"/>
          <w:szCs w:val="24"/>
        </w:rPr>
        <w:t>5.2.3　生物模块</w:t>
      </w:r>
    </w:p>
    <w:p w14:paraId="310F7297">
      <w:pPr>
        <w:pStyle w:val="237"/>
        <w:numPr>
          <w:ilvl w:val="0"/>
          <w:numId w:val="0"/>
        </w:numPr>
        <w:spacing w:before="0" w:beforeLines="0" w:after="0" w:afterLines="0" w:line="310" w:lineRule="exact"/>
        <w:ind w:firstLine="420" w:firstLineChars="200"/>
        <w:rPr>
          <w:rFonts w:ascii="Times New Roman" w:eastAsia="宋体"/>
          <w:szCs w:val="20"/>
        </w:rPr>
      </w:pPr>
      <w:r>
        <w:rPr>
          <w:rFonts w:hint="eastAsia" w:ascii="Times New Roman" w:eastAsia="宋体"/>
          <w:szCs w:val="20"/>
        </w:rPr>
        <w:t>生物模块是利用生物绳填料制作而成的，根据结构形式及安装方式的不同，可分为固定式生物模块和悬浮式生物模块，生物模块的布设面积约占尾水治理区域水面面积的15%-20%。</w:t>
      </w:r>
    </w:p>
    <w:p w14:paraId="38ABDFD3">
      <w:pPr>
        <w:pStyle w:val="237"/>
        <w:numPr>
          <w:ilvl w:val="0"/>
          <w:numId w:val="0"/>
        </w:numPr>
        <w:spacing w:before="0" w:beforeLines="0" w:after="0" w:afterLines="0" w:line="310" w:lineRule="exact"/>
        <w:ind w:firstLine="420" w:firstLineChars="200"/>
        <w:rPr>
          <w:rFonts w:ascii="Times New Roman" w:eastAsia="宋体"/>
          <w:szCs w:val="20"/>
        </w:rPr>
      </w:pPr>
      <w:r>
        <w:rPr>
          <w:rFonts w:hint="eastAsia" w:ascii="Times New Roman" w:eastAsia="宋体"/>
          <w:szCs w:val="20"/>
        </w:rPr>
        <w:t>将生物绳填料固定在钢骨架上，而制成的长方体形状的，一般固定安装在水下40 cm处的，为固定式生物模块，外形尺寸以1.5 m宽、1.5 m高、3 m长为宜。</w:t>
      </w:r>
    </w:p>
    <w:p w14:paraId="34B67ABE">
      <w:pPr>
        <w:pStyle w:val="237"/>
        <w:numPr>
          <w:ilvl w:val="0"/>
          <w:numId w:val="0"/>
        </w:numPr>
        <w:spacing w:before="0" w:beforeLines="0" w:after="0" w:afterLines="0" w:line="310" w:lineRule="exact"/>
        <w:ind w:firstLine="420" w:firstLineChars="200"/>
        <w:rPr>
          <w:rFonts w:ascii="Times New Roman" w:eastAsia="宋体"/>
          <w:szCs w:val="20"/>
        </w:rPr>
      </w:pPr>
      <w:r>
        <w:rPr>
          <w:rFonts w:hint="eastAsia" w:ascii="Times New Roman" w:eastAsia="宋体"/>
          <w:szCs w:val="20"/>
        </w:rPr>
        <w:t>将生物绳填料固定在浮体上，并辅以配重、拉绳，一般采用自水面上至水底下的安装方式，为悬浮式生物模块，每组悬浮式生物模块的深度、宽度与布设地的水深、水面宽度相同，长度以10 m为宜。</w:t>
      </w:r>
    </w:p>
    <w:p w14:paraId="578FA3BD">
      <w:pPr>
        <w:pStyle w:val="237"/>
        <w:numPr>
          <w:ilvl w:val="0"/>
          <w:numId w:val="0"/>
        </w:numPr>
        <w:spacing w:before="120" w:after="120"/>
        <w:rPr>
          <w:rFonts w:hint="eastAsia" w:hAnsi="黑体" w:cs="黑体"/>
          <w:kern w:val="2"/>
          <w:szCs w:val="24"/>
        </w:rPr>
      </w:pPr>
      <w:r>
        <w:rPr>
          <w:rFonts w:hint="eastAsia" w:hAnsi="黑体" w:cs="黑体"/>
          <w:kern w:val="2"/>
          <w:szCs w:val="24"/>
        </w:rPr>
        <w:t>5.2.4　调节沉淀区</w:t>
      </w:r>
    </w:p>
    <w:p w14:paraId="3C8965E6">
      <w:pPr>
        <w:pStyle w:val="237"/>
        <w:numPr>
          <w:ilvl w:val="0"/>
          <w:numId w:val="0"/>
        </w:numPr>
        <w:spacing w:before="0" w:beforeLines="0" w:after="0" w:afterLines="0" w:line="310" w:lineRule="exact"/>
        <w:ind w:firstLine="420" w:firstLineChars="200"/>
        <w:rPr>
          <w:rFonts w:ascii="Times New Roman" w:eastAsia="宋体"/>
          <w:szCs w:val="20"/>
        </w:rPr>
      </w:pPr>
      <w:r>
        <w:rPr>
          <w:rFonts w:hint="eastAsia" w:ascii="Times New Roman" w:eastAsia="宋体"/>
          <w:szCs w:val="20"/>
        </w:rPr>
        <w:t>设置在尾水治理区域前段，以收集系统排水口为起始端，以生态截滤坝为末端，用于对尾水进行一定时间的停留和储存，促使水中悬浮物和大颗粒物质沉降、沉淀的区域。</w:t>
      </w:r>
    </w:p>
    <w:p w14:paraId="7E16F308">
      <w:pPr>
        <w:pStyle w:val="237"/>
        <w:numPr>
          <w:ilvl w:val="0"/>
          <w:numId w:val="0"/>
        </w:numPr>
        <w:spacing w:before="0" w:beforeLines="0" w:after="0" w:afterLines="0" w:line="310" w:lineRule="exact"/>
        <w:ind w:firstLine="420" w:firstLineChars="200"/>
        <w:rPr>
          <w:rFonts w:ascii="Times New Roman" w:eastAsia="宋体"/>
          <w:szCs w:val="20"/>
        </w:rPr>
      </w:pPr>
      <w:r>
        <w:rPr>
          <w:rFonts w:hint="eastAsia" w:ascii="Times New Roman" w:eastAsia="宋体"/>
          <w:szCs w:val="20"/>
        </w:rPr>
        <w:t>调节沉淀区面积占尾水治理区域面积比例约为20%。在区域内间隔布设导流板、帆布、生物仓，种植水生植物，投放水生动物，末端设置生态截滤坝。</w:t>
      </w:r>
    </w:p>
    <w:p w14:paraId="517668E0">
      <w:pPr>
        <w:pStyle w:val="237"/>
        <w:numPr>
          <w:ilvl w:val="0"/>
          <w:numId w:val="0"/>
        </w:numPr>
        <w:spacing w:before="120" w:after="120"/>
        <w:rPr>
          <w:rFonts w:hint="eastAsia" w:hAnsi="黑体" w:cs="黑体"/>
          <w:kern w:val="2"/>
          <w:szCs w:val="24"/>
        </w:rPr>
      </w:pPr>
      <w:r>
        <w:rPr>
          <w:rFonts w:hint="eastAsia" w:hAnsi="黑体" w:cs="黑体"/>
          <w:kern w:val="2"/>
          <w:szCs w:val="24"/>
        </w:rPr>
        <w:t>5.2.5　功能降解区</w:t>
      </w:r>
    </w:p>
    <w:p w14:paraId="46A233AA">
      <w:pPr>
        <w:pStyle w:val="237"/>
        <w:numPr>
          <w:ilvl w:val="0"/>
          <w:numId w:val="0"/>
        </w:numPr>
        <w:spacing w:before="0" w:beforeLines="0" w:after="0" w:afterLines="0" w:line="310" w:lineRule="exact"/>
        <w:ind w:firstLine="420" w:firstLineChars="200"/>
        <w:rPr>
          <w:rFonts w:ascii="Times New Roman" w:eastAsia="宋体"/>
          <w:szCs w:val="20"/>
        </w:rPr>
      </w:pPr>
      <w:r>
        <w:rPr>
          <w:rFonts w:hint="eastAsia" w:ascii="Times New Roman" w:eastAsia="宋体"/>
          <w:szCs w:val="20"/>
        </w:rPr>
        <w:t>设置在尾水治理区域中段，以调节沉淀区末端的生态截滤坝为起始端，以功能降解区末端的生态截滤坝为末端，用于对尾水中污染物进行降解处理的区域。</w:t>
      </w:r>
    </w:p>
    <w:p w14:paraId="57A4D5E0">
      <w:pPr>
        <w:pStyle w:val="237"/>
        <w:numPr>
          <w:ilvl w:val="0"/>
          <w:numId w:val="0"/>
        </w:numPr>
        <w:spacing w:before="0" w:beforeLines="0" w:after="0" w:afterLines="0" w:line="310" w:lineRule="exact"/>
        <w:ind w:firstLine="420" w:firstLineChars="200"/>
        <w:rPr>
          <w:rFonts w:ascii="Times New Roman" w:eastAsia="宋体"/>
          <w:szCs w:val="20"/>
        </w:rPr>
      </w:pPr>
      <w:r>
        <w:rPr>
          <w:rFonts w:hint="eastAsia" w:ascii="Times New Roman" w:eastAsia="宋体"/>
          <w:szCs w:val="20"/>
        </w:rPr>
        <w:t>功能降解区面积占尾水治理区域面积比例约为60%。在区域内间隔布设增氧曝气设备、生物浮岛、固定式生物模块、悬浮式生物模块、生物仓，种植水生植物，投放水生动物；并选择生物仓、生物模块，作为投加功能性微生物的专门区域，末端设置生态截滤坝。</w:t>
      </w:r>
    </w:p>
    <w:p w14:paraId="69ADD966">
      <w:pPr>
        <w:pStyle w:val="237"/>
        <w:numPr>
          <w:ilvl w:val="0"/>
          <w:numId w:val="0"/>
        </w:numPr>
        <w:spacing w:before="120" w:after="120"/>
        <w:rPr>
          <w:rFonts w:hint="eastAsia" w:hAnsi="黑体" w:cs="黑体"/>
          <w:kern w:val="2"/>
          <w:szCs w:val="24"/>
        </w:rPr>
      </w:pPr>
      <w:r>
        <w:rPr>
          <w:rFonts w:hint="eastAsia" w:hAnsi="黑体" w:cs="黑体"/>
          <w:kern w:val="2"/>
          <w:szCs w:val="24"/>
        </w:rPr>
        <w:t>5.2.6　生态净化区</w:t>
      </w:r>
    </w:p>
    <w:p w14:paraId="4D7A14E4">
      <w:pPr>
        <w:pStyle w:val="237"/>
        <w:numPr>
          <w:ilvl w:val="0"/>
          <w:numId w:val="0"/>
        </w:numPr>
        <w:spacing w:before="0" w:beforeLines="0" w:after="0" w:afterLines="0" w:line="310" w:lineRule="exact"/>
        <w:ind w:firstLine="420" w:firstLineChars="200"/>
        <w:rPr>
          <w:rFonts w:ascii="Times New Roman" w:eastAsia="宋体"/>
          <w:szCs w:val="20"/>
        </w:rPr>
      </w:pPr>
      <w:r>
        <w:rPr>
          <w:rFonts w:hint="eastAsia" w:ascii="Times New Roman" w:eastAsia="宋体"/>
          <w:szCs w:val="20"/>
        </w:rPr>
        <w:t>设置在尾水治理区域末段，以功能降解区末端的生态截滤坝为起始端，以排水闸门为末端，利用水生动植物对尾水中污染物进一步的吸收、转换。</w:t>
      </w:r>
    </w:p>
    <w:p w14:paraId="5F804BD0">
      <w:pPr>
        <w:pStyle w:val="237"/>
        <w:numPr>
          <w:ilvl w:val="0"/>
          <w:numId w:val="0"/>
        </w:numPr>
        <w:spacing w:before="0" w:beforeLines="0" w:after="0" w:afterLines="0" w:line="310" w:lineRule="exact"/>
        <w:ind w:firstLine="420" w:firstLineChars="200"/>
        <w:rPr>
          <w:rFonts w:ascii="Times New Roman" w:eastAsia="宋体"/>
          <w:szCs w:val="20"/>
        </w:rPr>
      </w:pPr>
      <w:r>
        <w:rPr>
          <w:rFonts w:hint="eastAsia" w:ascii="Times New Roman" w:eastAsia="宋体"/>
          <w:szCs w:val="20"/>
        </w:rPr>
        <w:t>生态净化区面积占尾水治理区域面积比例约为20%。在区域内布设喷泉、生物浮岛、种植水生植物、投放水生动物，末端设置水坝、闸门及水质监测点。</w:t>
      </w:r>
    </w:p>
    <w:p w14:paraId="57E9545C">
      <w:pPr>
        <w:pStyle w:val="236"/>
        <w:numPr>
          <w:ilvl w:val="0"/>
          <w:numId w:val="0"/>
        </w:numPr>
        <w:spacing w:before="240" w:after="240"/>
      </w:pPr>
      <w:r>
        <w:rPr>
          <w:rFonts w:hint="eastAsia"/>
        </w:rPr>
        <w:t>6　生物配置</w:t>
      </w:r>
    </w:p>
    <w:p w14:paraId="2D56398B">
      <w:pPr>
        <w:pStyle w:val="237"/>
        <w:numPr>
          <w:ilvl w:val="0"/>
          <w:numId w:val="0"/>
        </w:numPr>
        <w:spacing w:before="120" w:after="120"/>
        <w:rPr>
          <w:rFonts w:hint="eastAsia" w:hAnsi="黑体" w:cs="黑体"/>
          <w:kern w:val="2"/>
          <w:szCs w:val="24"/>
        </w:rPr>
      </w:pPr>
      <w:r>
        <w:rPr>
          <w:rFonts w:hint="eastAsia" w:hAnsi="黑体" w:cs="黑体"/>
          <w:kern w:val="2"/>
          <w:szCs w:val="24"/>
        </w:rPr>
        <w:t>6.1　水生植物</w:t>
      </w:r>
    </w:p>
    <w:p w14:paraId="5FEA6774">
      <w:pPr>
        <w:pStyle w:val="237"/>
        <w:numPr>
          <w:ilvl w:val="0"/>
          <w:numId w:val="0"/>
        </w:numPr>
        <w:spacing w:before="0" w:beforeLines="0" w:after="0" w:afterLines="0" w:line="310" w:lineRule="exact"/>
        <w:ind w:firstLine="420" w:firstLineChars="200"/>
        <w:rPr>
          <w:rFonts w:ascii="Times New Roman" w:eastAsia="宋体"/>
          <w:szCs w:val="20"/>
        </w:rPr>
      </w:pPr>
      <w:r>
        <w:rPr>
          <w:rFonts w:hint="eastAsia" w:ascii="Times New Roman" w:eastAsia="宋体"/>
          <w:szCs w:val="20"/>
        </w:rPr>
        <w:t>淡水养殖在近岸浅水可种植蒲苇、旱伞草、美人蕉、菖蒲等挺水植物，深水区可种植轮叶黑藻、菹草、苦草等沉水植物，水面可选择凤眼莲、莲子草等漂浮植物，水体可选用着生藻类和浮游藻类。</w:t>
      </w:r>
    </w:p>
    <w:p w14:paraId="3E8FC4CD">
      <w:pPr>
        <w:pStyle w:val="237"/>
        <w:numPr>
          <w:ilvl w:val="0"/>
          <w:numId w:val="0"/>
        </w:numPr>
        <w:spacing w:before="0" w:beforeLines="0" w:after="0" w:afterLines="0" w:line="310" w:lineRule="exact"/>
        <w:ind w:firstLine="420" w:firstLineChars="200"/>
        <w:rPr>
          <w:rFonts w:ascii="Times New Roman" w:eastAsia="宋体"/>
          <w:szCs w:val="20"/>
        </w:rPr>
      </w:pPr>
      <w:r>
        <w:rPr>
          <w:rFonts w:hint="eastAsia" w:ascii="Times New Roman" w:eastAsia="宋体"/>
          <w:szCs w:val="20"/>
        </w:rPr>
        <w:t>海水养殖可选用江蓠、红毛菜、海马齿等耐盐植物。</w:t>
      </w:r>
    </w:p>
    <w:p w14:paraId="2C7DC963">
      <w:pPr>
        <w:pStyle w:val="237"/>
        <w:numPr>
          <w:ilvl w:val="0"/>
          <w:numId w:val="0"/>
        </w:numPr>
        <w:spacing w:before="0" w:beforeLines="0" w:after="0" w:afterLines="0" w:line="310" w:lineRule="exact"/>
        <w:ind w:firstLine="420" w:firstLineChars="200"/>
        <w:rPr>
          <w:rFonts w:ascii="Times New Roman" w:eastAsia="宋体"/>
          <w:szCs w:val="20"/>
        </w:rPr>
      </w:pPr>
      <w:r>
        <w:rPr>
          <w:rFonts w:hint="eastAsia" w:ascii="Times New Roman" w:eastAsia="宋体"/>
          <w:szCs w:val="20"/>
        </w:rPr>
        <w:t>水生植物面积应占水面面积的50%。</w:t>
      </w:r>
    </w:p>
    <w:p w14:paraId="70A3976E">
      <w:pPr>
        <w:pStyle w:val="237"/>
        <w:numPr>
          <w:ilvl w:val="0"/>
          <w:numId w:val="0"/>
        </w:numPr>
        <w:spacing w:before="120" w:after="120"/>
        <w:rPr>
          <w:rFonts w:hint="eastAsia" w:hAnsi="黑体" w:cs="黑体"/>
          <w:kern w:val="2"/>
          <w:szCs w:val="24"/>
        </w:rPr>
      </w:pPr>
      <w:r>
        <w:rPr>
          <w:rFonts w:hint="eastAsia" w:hAnsi="黑体" w:cs="黑体"/>
          <w:kern w:val="2"/>
          <w:szCs w:val="24"/>
        </w:rPr>
        <w:t>6.2　水生动物</w:t>
      </w:r>
    </w:p>
    <w:p w14:paraId="4EF54734">
      <w:pPr>
        <w:pStyle w:val="237"/>
        <w:numPr>
          <w:ilvl w:val="0"/>
          <w:numId w:val="0"/>
        </w:numPr>
        <w:spacing w:before="0" w:beforeLines="0" w:after="0" w:afterLines="0" w:line="310" w:lineRule="exact"/>
        <w:ind w:firstLine="420" w:firstLineChars="200"/>
        <w:rPr>
          <w:rFonts w:ascii="Times New Roman" w:eastAsia="宋体"/>
          <w:szCs w:val="20"/>
        </w:rPr>
      </w:pPr>
      <w:r>
        <w:rPr>
          <w:rFonts w:hint="eastAsia" w:ascii="Times New Roman" w:eastAsia="宋体"/>
          <w:szCs w:val="20"/>
        </w:rPr>
        <w:t>淡水养殖可投放鲢鳙等鱼类，放养密度为每亩30尾-50尾。可投放螺丝、贝类，放养密度为每亩50 kg-100 kg。</w:t>
      </w:r>
    </w:p>
    <w:p w14:paraId="32B973A1">
      <w:pPr>
        <w:pStyle w:val="237"/>
        <w:numPr>
          <w:ilvl w:val="0"/>
          <w:numId w:val="0"/>
        </w:numPr>
        <w:spacing w:before="0" w:beforeLines="0" w:after="0" w:afterLines="0" w:line="310" w:lineRule="exact"/>
        <w:ind w:firstLine="420" w:firstLineChars="200"/>
        <w:rPr>
          <w:rFonts w:ascii="Times New Roman" w:eastAsia="宋体"/>
          <w:szCs w:val="20"/>
        </w:rPr>
      </w:pPr>
      <w:r>
        <w:rPr>
          <w:rFonts w:hint="eastAsia" w:ascii="Times New Roman" w:eastAsia="宋体"/>
          <w:szCs w:val="20"/>
        </w:rPr>
        <w:t>海水养殖鱼类可选用梭鱼、海鲈鱼等，贝类可选用文蛤、牡蛎、贻贝等。</w:t>
      </w:r>
    </w:p>
    <w:p w14:paraId="0F95A3E2">
      <w:pPr>
        <w:pStyle w:val="237"/>
        <w:numPr>
          <w:ilvl w:val="0"/>
          <w:numId w:val="0"/>
        </w:numPr>
        <w:spacing w:before="120" w:after="120"/>
        <w:rPr>
          <w:rFonts w:hint="eastAsia" w:hAnsi="黑体" w:cs="黑体"/>
          <w:kern w:val="2"/>
          <w:szCs w:val="24"/>
        </w:rPr>
      </w:pPr>
      <w:r>
        <w:rPr>
          <w:rFonts w:hint="eastAsia" w:hAnsi="黑体" w:cs="黑体"/>
          <w:kern w:val="2"/>
          <w:szCs w:val="24"/>
        </w:rPr>
        <w:t>6.3　微生物</w:t>
      </w:r>
    </w:p>
    <w:p w14:paraId="7ABCD802">
      <w:pPr>
        <w:pStyle w:val="237"/>
        <w:numPr>
          <w:ilvl w:val="0"/>
          <w:numId w:val="0"/>
        </w:numPr>
        <w:spacing w:before="0" w:beforeLines="0" w:after="0" w:afterLines="0" w:line="310" w:lineRule="exact"/>
        <w:ind w:firstLine="420" w:firstLineChars="200"/>
        <w:rPr>
          <w:rFonts w:ascii="Times New Roman" w:eastAsia="宋体"/>
          <w:szCs w:val="20"/>
        </w:rPr>
      </w:pPr>
      <w:r>
        <w:rPr>
          <w:rFonts w:hint="eastAsia" w:ascii="Times New Roman" w:eastAsia="宋体"/>
          <w:szCs w:val="20"/>
        </w:rPr>
        <w:t>微生物选用从养殖区水域中经选择性富集、驯化培养以及分离纯化等步骤，筛选出的具有高效降解能力的土著微生物，具有强适应性、高稳定性和高安全性。</w:t>
      </w:r>
    </w:p>
    <w:p w14:paraId="39B7CCCC">
      <w:pPr>
        <w:pStyle w:val="237"/>
        <w:numPr>
          <w:ilvl w:val="0"/>
          <w:numId w:val="0"/>
        </w:numPr>
        <w:spacing w:before="0" w:beforeLines="0" w:after="0" w:afterLines="0" w:line="310" w:lineRule="exact"/>
        <w:ind w:firstLine="420" w:firstLineChars="200"/>
        <w:rPr>
          <w:rFonts w:ascii="Times New Roman" w:eastAsia="宋体"/>
          <w:szCs w:val="20"/>
        </w:rPr>
      </w:pPr>
      <w:r>
        <w:rPr>
          <w:rFonts w:hint="eastAsia" w:ascii="Times New Roman" w:eastAsia="宋体"/>
          <w:szCs w:val="20"/>
        </w:rPr>
        <w:t>根据尾水水质指标选用不同的功能性微生物：含碳类污染物，可选用枯草芽孢杆菌、解淀粉芽孢杆菌等；含氮类污染物，可选用硝化杆菌、鞘氨醇单胞菌等；含磷类污染物，可选用巨大芽孢杆菌、不动杆菌等；含高浓度抗生素尾水，可选用短小芽孢杆菌、假单胞菌等；海水养殖尾水，可选用海水芽孢杆菌、盐水球菌等；低温环境下，可选用蜡样芽孢杆菌、耐冷草假单胞菌等。</w:t>
      </w:r>
    </w:p>
    <w:p w14:paraId="5B38828D">
      <w:pPr>
        <w:pStyle w:val="237"/>
        <w:numPr>
          <w:ilvl w:val="0"/>
          <w:numId w:val="0"/>
        </w:numPr>
        <w:spacing w:before="0" w:beforeLines="0" w:after="0" w:afterLines="0" w:line="310" w:lineRule="exact"/>
        <w:ind w:firstLine="420" w:firstLineChars="200"/>
        <w:rPr>
          <w:rFonts w:ascii="Times New Roman" w:eastAsia="宋体"/>
          <w:szCs w:val="20"/>
        </w:rPr>
      </w:pPr>
      <w:r>
        <w:rPr>
          <w:rFonts w:hint="eastAsia" w:ascii="Times New Roman" w:eastAsia="宋体"/>
          <w:szCs w:val="20"/>
        </w:rPr>
        <w:t>微生物的选用应根据具体水质情况和处理目标进行合理搭配和使用。</w:t>
      </w:r>
    </w:p>
    <w:p w14:paraId="21F55043">
      <w:pPr>
        <w:pStyle w:val="237"/>
        <w:numPr>
          <w:ilvl w:val="0"/>
          <w:numId w:val="0"/>
        </w:numPr>
        <w:spacing w:before="0" w:beforeLines="0" w:after="0" w:afterLines="0" w:line="310" w:lineRule="exact"/>
        <w:ind w:firstLine="420" w:firstLineChars="200"/>
        <w:rPr>
          <w:rFonts w:ascii="Times New Roman" w:eastAsia="宋体"/>
          <w:szCs w:val="20"/>
        </w:rPr>
      </w:pPr>
      <w:r>
        <w:rPr>
          <w:rFonts w:hint="eastAsia" w:ascii="Times New Roman" w:eastAsia="宋体"/>
          <w:szCs w:val="20"/>
        </w:rPr>
        <w:t>所选用的功能性微生物应在相应的区域进行投加。</w:t>
      </w:r>
    </w:p>
    <w:p w14:paraId="5B14E98A">
      <w:pPr>
        <w:pStyle w:val="236"/>
        <w:numPr>
          <w:ilvl w:val="0"/>
          <w:numId w:val="0"/>
        </w:numPr>
        <w:spacing w:before="240" w:after="240"/>
      </w:pPr>
      <w:r>
        <w:rPr>
          <w:rFonts w:hint="eastAsia"/>
        </w:rPr>
        <w:t>7　尾水排放</w:t>
      </w:r>
    </w:p>
    <w:p w14:paraId="4C502CBF">
      <w:pPr>
        <w:pStyle w:val="237"/>
        <w:numPr>
          <w:ilvl w:val="0"/>
          <w:numId w:val="0"/>
        </w:numPr>
        <w:spacing w:before="0" w:beforeLines="0" w:after="0" w:afterLines="0" w:line="310" w:lineRule="exact"/>
        <w:ind w:firstLine="420" w:firstLineChars="200"/>
        <w:rPr>
          <w:rFonts w:ascii="Times New Roman" w:eastAsia="宋体"/>
          <w:szCs w:val="20"/>
        </w:rPr>
      </w:pPr>
      <w:r>
        <w:rPr>
          <w:rFonts w:hint="eastAsia" w:ascii="Times New Roman" w:eastAsia="宋体"/>
          <w:szCs w:val="20"/>
        </w:rPr>
        <w:t>尾水经处理，水质符合DB32/4043-2021 江苏省池塘养殖尾水排放标准要求后，可排放到外界公共水域。</w:t>
      </w:r>
    </w:p>
    <w:p w14:paraId="3AD17E84">
      <w:pPr>
        <w:pStyle w:val="237"/>
        <w:numPr>
          <w:ilvl w:val="0"/>
          <w:numId w:val="0"/>
        </w:numPr>
        <w:spacing w:before="0" w:beforeLines="0" w:after="0" w:afterLines="0" w:line="310" w:lineRule="exact"/>
        <w:ind w:firstLine="420" w:firstLineChars="200"/>
        <w:rPr>
          <w:rFonts w:ascii="Times New Roman" w:eastAsia="宋体"/>
          <w:szCs w:val="20"/>
        </w:rPr>
      </w:pPr>
      <w:r>
        <w:rPr>
          <w:rFonts w:hint="eastAsia" w:ascii="Times New Roman" w:eastAsia="宋体"/>
          <w:szCs w:val="20"/>
        </w:rPr>
        <w:t>尾水经处理，水质符合GB 11607 渔业水质标准要求后，可循环回用。</w:t>
      </w:r>
    </w:p>
    <w:p w14:paraId="11EF73B5">
      <w:pPr>
        <w:pStyle w:val="236"/>
        <w:numPr>
          <w:ilvl w:val="0"/>
          <w:numId w:val="0"/>
        </w:numPr>
        <w:spacing w:before="240" w:after="240"/>
      </w:pPr>
      <w:r>
        <w:rPr>
          <w:rFonts w:hint="eastAsia"/>
        </w:rPr>
        <w:t>8　运行维护</w:t>
      </w:r>
    </w:p>
    <w:p w14:paraId="2A36B3DB">
      <w:pPr>
        <w:pStyle w:val="237"/>
        <w:numPr>
          <w:ilvl w:val="0"/>
          <w:numId w:val="0"/>
        </w:numPr>
        <w:spacing w:before="120" w:after="120"/>
        <w:rPr>
          <w:rFonts w:hint="eastAsia" w:hAnsi="黑体" w:cs="黑体"/>
          <w:kern w:val="2"/>
          <w:szCs w:val="24"/>
        </w:rPr>
      </w:pPr>
      <w:r>
        <w:rPr>
          <w:rFonts w:hint="eastAsia" w:hAnsi="黑体" w:cs="黑体"/>
          <w:kern w:val="2"/>
          <w:szCs w:val="24"/>
        </w:rPr>
        <w:t>8.1　排水要求</w:t>
      </w:r>
    </w:p>
    <w:p w14:paraId="0F9EAEE1">
      <w:pPr>
        <w:pStyle w:val="237"/>
        <w:numPr>
          <w:ilvl w:val="0"/>
          <w:numId w:val="0"/>
        </w:numPr>
        <w:spacing w:before="0" w:beforeLines="0" w:after="0" w:afterLines="0" w:line="310" w:lineRule="exact"/>
        <w:ind w:firstLine="420" w:firstLineChars="200"/>
        <w:rPr>
          <w:rFonts w:ascii="Times New Roman" w:eastAsia="宋体"/>
          <w:szCs w:val="20"/>
        </w:rPr>
      </w:pPr>
      <w:r>
        <w:rPr>
          <w:rFonts w:hint="eastAsia" w:ascii="Times New Roman" w:eastAsia="宋体"/>
          <w:szCs w:val="20"/>
        </w:rPr>
        <w:t>合理安排尾水排放时间，避免所有养殖塘集中排放，一般情况下日排放量不超过尾水治理区域总容量的50%。</w:t>
      </w:r>
    </w:p>
    <w:p w14:paraId="55A7AACE">
      <w:pPr>
        <w:pStyle w:val="237"/>
        <w:numPr>
          <w:ilvl w:val="0"/>
          <w:numId w:val="0"/>
        </w:numPr>
        <w:spacing w:before="120" w:after="120"/>
        <w:rPr>
          <w:rFonts w:hint="eastAsia" w:hAnsi="黑体" w:cs="黑体"/>
          <w:kern w:val="2"/>
          <w:szCs w:val="24"/>
        </w:rPr>
      </w:pPr>
      <w:r>
        <w:rPr>
          <w:rFonts w:hint="eastAsia" w:hAnsi="黑体" w:cs="黑体"/>
          <w:kern w:val="2"/>
          <w:szCs w:val="24"/>
        </w:rPr>
        <w:t>8.2　尾水净化时间</w:t>
      </w:r>
    </w:p>
    <w:p w14:paraId="1C507C1A">
      <w:pPr>
        <w:pStyle w:val="234"/>
        <w:rPr>
          <w:rFonts w:ascii="Times New Roman"/>
        </w:rPr>
      </w:pPr>
      <w:r>
        <w:rPr>
          <w:rFonts w:hint="eastAsia" w:ascii="Times New Roman"/>
        </w:rPr>
        <w:t>一般情况下，尾水的水力停留时间为2天。</w:t>
      </w:r>
    </w:p>
    <w:p w14:paraId="56B5AE10">
      <w:pPr>
        <w:pStyle w:val="237"/>
        <w:numPr>
          <w:ilvl w:val="0"/>
          <w:numId w:val="0"/>
        </w:numPr>
        <w:spacing w:before="120" w:after="120"/>
        <w:rPr>
          <w:rFonts w:hint="eastAsia" w:hAnsi="黑体" w:cs="黑体"/>
          <w:kern w:val="2"/>
          <w:szCs w:val="24"/>
        </w:rPr>
      </w:pPr>
      <w:r>
        <w:rPr>
          <w:rFonts w:hint="eastAsia" w:hAnsi="黑体" w:cs="黑体"/>
          <w:kern w:val="2"/>
          <w:szCs w:val="24"/>
        </w:rPr>
        <w:t>8.3　曝气增氧时间</w:t>
      </w:r>
    </w:p>
    <w:p w14:paraId="12E373A2">
      <w:pPr>
        <w:pStyle w:val="234"/>
        <w:rPr>
          <w:rFonts w:ascii="Times New Roman"/>
        </w:rPr>
      </w:pPr>
      <w:r>
        <w:rPr>
          <w:rFonts w:hint="eastAsia" w:ascii="Times New Roman"/>
        </w:rPr>
        <w:t>增氧曝气设备日开启时间不少于6小时，视设备充氧效率、水质情况，适当调整。</w:t>
      </w:r>
    </w:p>
    <w:p w14:paraId="3AD7BCD5">
      <w:pPr>
        <w:pStyle w:val="237"/>
        <w:numPr>
          <w:ilvl w:val="0"/>
          <w:numId w:val="0"/>
        </w:numPr>
        <w:spacing w:before="120" w:after="120"/>
        <w:rPr>
          <w:rFonts w:hint="eastAsia" w:hAnsi="黑体" w:cs="黑体"/>
          <w:kern w:val="2"/>
          <w:szCs w:val="24"/>
        </w:rPr>
      </w:pPr>
      <w:r>
        <w:rPr>
          <w:rFonts w:hint="eastAsia" w:hAnsi="黑体" w:cs="黑体"/>
          <w:kern w:val="2"/>
          <w:szCs w:val="24"/>
        </w:rPr>
        <w:t>8.4　生态截滤坝维护</w:t>
      </w:r>
    </w:p>
    <w:p w14:paraId="01740CF3">
      <w:pPr>
        <w:pStyle w:val="234"/>
        <w:rPr>
          <w:rFonts w:ascii="Times New Roman"/>
        </w:rPr>
      </w:pPr>
      <w:r>
        <w:rPr>
          <w:rFonts w:hint="eastAsia" w:ascii="Times New Roman"/>
        </w:rPr>
        <w:t>定期对生态截滤坝体及填料采取冲洗、更换等维护措施。</w:t>
      </w:r>
    </w:p>
    <w:p w14:paraId="5C218A63">
      <w:pPr>
        <w:pStyle w:val="237"/>
        <w:numPr>
          <w:ilvl w:val="0"/>
          <w:numId w:val="0"/>
        </w:numPr>
        <w:spacing w:before="120" w:after="120"/>
        <w:rPr>
          <w:rFonts w:hint="eastAsia" w:hAnsi="黑体" w:cs="黑体"/>
          <w:kern w:val="2"/>
          <w:szCs w:val="24"/>
        </w:rPr>
      </w:pPr>
      <w:r>
        <w:rPr>
          <w:rFonts w:hint="eastAsia" w:hAnsi="黑体" w:cs="黑体"/>
          <w:kern w:val="2"/>
          <w:szCs w:val="24"/>
        </w:rPr>
        <w:t>8.5　植物养护</w:t>
      </w:r>
    </w:p>
    <w:p w14:paraId="0D5F12E7">
      <w:pPr>
        <w:pStyle w:val="234"/>
        <w:rPr>
          <w:rFonts w:ascii="Times New Roman"/>
        </w:rPr>
      </w:pPr>
      <w:r>
        <w:rPr>
          <w:rFonts w:hint="eastAsia" w:ascii="Times New Roman"/>
        </w:rPr>
        <w:t>根据不同季节水生植物的生长特性，适时打捞、收割，进行无害化处理，控制尾水治理区域内水生植物密度适宜。</w:t>
      </w:r>
    </w:p>
    <w:p w14:paraId="62F85B65">
      <w:pPr>
        <w:widowControl/>
        <w:adjustRightInd/>
        <w:spacing w:line="240" w:lineRule="auto"/>
        <w:jc w:val="left"/>
        <w:rPr>
          <w:rFonts w:ascii="Times New Roman" w:hAnsi="Times New Roman"/>
          <w:kern w:val="0"/>
          <w:szCs w:val="20"/>
        </w:rPr>
      </w:pPr>
      <w:r>
        <w:rPr>
          <w:rFonts w:ascii="Times New Roman"/>
        </w:rPr>
        <w:br w:type="page"/>
      </w:r>
    </w:p>
    <w:p w14:paraId="0F5EF3D7">
      <w:pPr>
        <w:widowControl/>
        <w:adjustRightInd/>
        <w:spacing w:line="720" w:lineRule="auto"/>
        <w:jc w:val="left"/>
        <w:outlineLvl w:val="0"/>
        <w:rPr>
          <w:rFonts w:ascii="Times New Roman" w:hAnsi="Times New Roman" w:eastAsia="黑体"/>
          <w:kern w:val="0"/>
          <w:szCs w:val="20"/>
          <w:lang w:bidi="ar"/>
        </w:rPr>
      </w:pPr>
      <w:bookmarkStart w:id="24" w:name="_Toc186558669"/>
      <w:r>
        <w:rPr>
          <w:rFonts w:ascii="Times New Roman" w:hAnsi="Times New Roman" w:eastAsia="黑体"/>
          <w:kern w:val="0"/>
          <w:szCs w:val="20"/>
          <w:lang w:bidi="ar"/>
        </w:rPr>
        <w:t>参  考  文  献</w:t>
      </w:r>
      <w:bookmarkEnd w:id="24"/>
    </w:p>
    <w:p w14:paraId="48BD417E">
      <w:pPr>
        <w:widowControl/>
        <w:numPr>
          <w:ilvl w:val="0"/>
          <w:numId w:val="33"/>
        </w:numPr>
        <w:autoSpaceDE w:val="0"/>
        <w:autoSpaceDN w:val="0"/>
        <w:adjustRightInd/>
        <w:spacing w:line="240" w:lineRule="auto"/>
        <w:rPr>
          <w:rFonts w:ascii="Times New Roman" w:hAnsi="Times New Roman"/>
          <w:kern w:val="0"/>
          <w:szCs w:val="20"/>
        </w:rPr>
      </w:pPr>
      <w:bookmarkStart w:id="25" w:name="BookMark8"/>
      <w:bookmarkStart w:id="26" w:name="_Hlk87847914"/>
      <w:r>
        <w:rPr>
          <w:rFonts w:ascii="Times New Roman" w:hAnsi="Times New Roman"/>
          <w:kern w:val="0"/>
          <w:szCs w:val="20"/>
        </w:rPr>
        <w:t>DB32/T 3238  淡水池塘循环水健康养殖三级净化技术操作规程</w:t>
      </w:r>
    </w:p>
    <w:p w14:paraId="1F865611">
      <w:pPr>
        <w:widowControl/>
        <w:numPr>
          <w:ilvl w:val="0"/>
          <w:numId w:val="33"/>
        </w:numPr>
        <w:autoSpaceDE w:val="0"/>
        <w:autoSpaceDN w:val="0"/>
        <w:adjustRightInd/>
        <w:spacing w:line="240" w:lineRule="auto"/>
        <w:rPr>
          <w:rFonts w:ascii="Times New Roman" w:hAnsi="Times New Roman"/>
          <w:kern w:val="0"/>
          <w:szCs w:val="20"/>
        </w:rPr>
      </w:pPr>
      <w:r>
        <w:rPr>
          <w:rFonts w:ascii="Times New Roman" w:hAnsi="Times New Roman"/>
          <w:kern w:val="0"/>
          <w:szCs w:val="20"/>
        </w:rPr>
        <w:t>DB3205/T 209  渔业养殖尾水生态处理技术规范</w:t>
      </w:r>
    </w:p>
    <w:p w14:paraId="7FA0951A">
      <w:pPr>
        <w:widowControl/>
        <w:numPr>
          <w:ilvl w:val="0"/>
          <w:numId w:val="33"/>
        </w:numPr>
        <w:autoSpaceDE w:val="0"/>
        <w:autoSpaceDN w:val="0"/>
        <w:adjustRightInd/>
        <w:spacing w:line="240" w:lineRule="auto"/>
        <w:rPr>
          <w:rFonts w:ascii="Times New Roman" w:hAnsi="Times New Roman"/>
          <w:kern w:val="0"/>
          <w:szCs w:val="20"/>
        </w:rPr>
      </w:pPr>
      <w:r>
        <w:rPr>
          <w:rFonts w:ascii="Times New Roman" w:hAnsi="Times New Roman"/>
          <w:kern w:val="0"/>
          <w:szCs w:val="20"/>
        </w:rPr>
        <w:t>DB3401/T 203-2020 水产养殖尾水生态处理技术规范</w:t>
      </w:r>
    </w:p>
    <w:p w14:paraId="4E84F8DC">
      <w:pPr>
        <w:widowControl/>
        <w:numPr>
          <w:ilvl w:val="0"/>
          <w:numId w:val="33"/>
        </w:numPr>
        <w:autoSpaceDE w:val="0"/>
        <w:autoSpaceDN w:val="0"/>
        <w:adjustRightInd/>
        <w:spacing w:line="240" w:lineRule="auto"/>
        <w:rPr>
          <w:rFonts w:ascii="Times New Roman" w:hAnsi="Times New Roman"/>
          <w:kern w:val="0"/>
          <w:szCs w:val="20"/>
        </w:rPr>
      </w:pPr>
      <w:r>
        <w:rPr>
          <w:rFonts w:ascii="Times New Roman" w:hAnsi="Times New Roman"/>
          <w:kern w:val="0"/>
          <w:szCs w:val="20"/>
        </w:rPr>
        <w:t>DB33/T 2288-2020 淡水池塘养殖尾水处理技术规范</w:t>
      </w:r>
    </w:p>
    <w:p w14:paraId="5E4BF7D9">
      <w:pPr>
        <w:widowControl/>
        <w:numPr>
          <w:ilvl w:val="0"/>
          <w:numId w:val="33"/>
        </w:numPr>
        <w:autoSpaceDE w:val="0"/>
        <w:autoSpaceDN w:val="0"/>
        <w:adjustRightInd/>
        <w:spacing w:line="240" w:lineRule="auto"/>
        <w:rPr>
          <w:rFonts w:ascii="Times New Roman" w:hAnsi="Times New Roman"/>
          <w:kern w:val="0"/>
          <w:szCs w:val="20"/>
        </w:rPr>
      </w:pPr>
      <w:r>
        <w:rPr>
          <w:rFonts w:ascii="Times New Roman" w:hAnsi="Times New Roman"/>
          <w:kern w:val="0"/>
          <w:szCs w:val="20"/>
        </w:rPr>
        <w:t>《水产养殖尾水处理技术模式》全国水产技术推广总站组编，中国农业出版社，2022</w:t>
      </w:r>
    </w:p>
    <w:p w14:paraId="23701733">
      <w:pPr>
        <w:widowControl/>
        <w:numPr>
          <w:ilvl w:val="0"/>
          <w:numId w:val="33"/>
        </w:numPr>
        <w:autoSpaceDE w:val="0"/>
        <w:autoSpaceDN w:val="0"/>
        <w:adjustRightInd/>
        <w:spacing w:line="240" w:lineRule="auto"/>
        <w:rPr>
          <w:rFonts w:ascii="Times New Roman" w:hAnsi="Times New Roman"/>
          <w:kern w:val="0"/>
          <w:szCs w:val="20"/>
        </w:rPr>
      </w:pPr>
      <w:r>
        <w:rPr>
          <w:rFonts w:ascii="Times New Roman" w:hAnsi="Times New Roman"/>
          <w:kern w:val="0"/>
          <w:szCs w:val="20"/>
        </w:rPr>
        <w:t>《“十四五”全国渔业发展规划》（农渔发[2021]28号）</w:t>
      </w:r>
    </w:p>
    <w:bookmarkEnd w:id="25"/>
    <w:bookmarkEnd w:id="26"/>
    <w:p w14:paraId="1E36D16D">
      <w:pPr>
        <w:widowControl/>
        <w:autoSpaceDE w:val="0"/>
        <w:autoSpaceDN w:val="0"/>
        <w:adjustRightInd/>
        <w:spacing w:line="240" w:lineRule="auto"/>
        <w:ind w:left="420"/>
        <w:rPr>
          <w:rFonts w:ascii="Times New Roman" w:hAnsi="Times New Roman"/>
          <w:kern w:val="0"/>
          <w:szCs w:val="20"/>
        </w:rPr>
      </w:pPr>
    </w:p>
    <w:p w14:paraId="380D0A88">
      <w:pPr>
        <w:widowControl/>
        <w:autoSpaceDE w:val="0"/>
        <w:autoSpaceDN w:val="0"/>
        <w:adjustRightInd/>
        <w:spacing w:line="240" w:lineRule="auto"/>
        <w:ind w:left="420"/>
        <w:rPr>
          <w:rFonts w:ascii="Times New Roman" w:hAnsi="Times New Roman"/>
          <w:kern w:val="0"/>
          <w:szCs w:val="20"/>
        </w:rPr>
      </w:pPr>
    </w:p>
    <w:p w14:paraId="6759C544">
      <w:pPr>
        <w:widowControl/>
        <w:autoSpaceDE w:val="0"/>
        <w:autoSpaceDN w:val="0"/>
        <w:adjustRightInd/>
        <w:spacing w:line="240" w:lineRule="auto"/>
        <w:ind w:left="420"/>
        <w:jc w:val="center"/>
        <w:rPr>
          <w:rFonts w:ascii="Times New Roman" w:hAnsi="Times New Roman" w:eastAsia="等线" w:cs="等线"/>
          <w:kern w:val="0"/>
          <w:szCs w:val="20"/>
        </w:rPr>
      </w:pPr>
      <w:r>
        <w:rPr>
          <w:rFonts w:ascii="Times New Roman" w:hAnsi="Times New Roman" w:eastAsia="等线"/>
          <w:kern w:val="0"/>
          <w:szCs w:val="20"/>
        </w:rPr>
        <w:drawing>
          <wp:inline distT="0" distB="0" distL="114300" distR="114300">
            <wp:extent cx="1485900" cy="317500"/>
            <wp:effectExtent l="0" t="0" r="7620" b="2540"/>
            <wp:docPr id="2061520013" name="图片 2061520013"/>
            <wp:cNvGraphicFramePr/>
            <a:graphic xmlns:a="http://schemas.openxmlformats.org/drawingml/2006/main">
              <a:graphicData uri="http://schemas.openxmlformats.org/drawingml/2006/picture">
                <pic:pic xmlns:pic="http://schemas.openxmlformats.org/drawingml/2006/picture">
                  <pic:nvPicPr>
                    <pic:cNvPr id="2061520013" name="图片 2061520013"/>
                    <pic:cNvPicPr/>
                  </pic:nvPicPr>
                  <pic:blipFill>
                    <a:blip r:embed="rId16"/>
                    <a:stretch>
                      <a:fillRect/>
                    </a:stretch>
                  </pic:blipFill>
                  <pic:spPr>
                    <a:xfrm>
                      <a:off x="0" y="0"/>
                      <a:ext cx="1485900" cy="317500"/>
                    </a:xfrm>
                    <a:prstGeom prst="rect">
                      <a:avLst/>
                    </a:prstGeom>
                    <a:noFill/>
                    <a:ln>
                      <a:noFill/>
                    </a:ln>
                  </pic:spPr>
                </pic:pic>
              </a:graphicData>
            </a:graphic>
          </wp:inline>
        </w:drawing>
      </w:r>
    </w:p>
    <w:p w14:paraId="735152EB">
      <w:pPr>
        <w:pStyle w:val="234"/>
        <w:rPr>
          <w:rFonts w:ascii="Times New Roman"/>
        </w:rPr>
      </w:pPr>
    </w:p>
    <w:bookmarkEnd w:id="16"/>
    <w:bookmarkEnd w:id="17"/>
    <w:bookmarkEnd w:id="18"/>
    <w:bookmarkEnd w:id="19"/>
    <w:bookmarkEnd w:id="20"/>
    <w:bookmarkEnd w:id="21"/>
    <w:p w14:paraId="2910F715">
      <w:pPr>
        <w:pStyle w:val="234"/>
        <w:rPr>
          <w:rFonts w:ascii="Times New Roman"/>
        </w:rPr>
      </w:pPr>
    </w:p>
    <w:sectPr>
      <w:footerReference r:id="rId11" w:type="default"/>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5E766">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117AC">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784BE">
    <w:pPr>
      <w:pStyle w:val="17"/>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4F3834">
                          <w:pPr>
                            <w:pStyle w:val="17"/>
                          </w:pPr>
                          <w:r>
                            <w:fldChar w:fldCharType="begin"/>
                          </w:r>
                          <w:r>
                            <w:instrText xml:space="preserve"> PAGE  \* MERGEFORMAT </w:instrText>
                          </w:r>
                          <w:r>
                            <w:fldChar w:fldCharType="separate"/>
                          </w:r>
                          <w:r>
                            <w:t xml:space="preserve">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234F3834">
                    <w:pPr>
                      <w:pStyle w:val="17"/>
                    </w:pPr>
                    <w:r>
                      <w:fldChar w:fldCharType="begin"/>
                    </w:r>
                    <w:r>
                      <w:instrText xml:space="preserve"> PAGE  \* MERGEFORMAT </w:instrText>
                    </w:r>
                    <w:r>
                      <w:fldChar w:fldCharType="separate"/>
                    </w:r>
                    <w:r>
                      <w:t xml:space="preserve">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28045">
    <w:pPr>
      <w:pStyle w:val="17"/>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AEA718">
                          <w:pPr>
                            <w:pStyle w:val="17"/>
                          </w:pPr>
                          <w:r>
                            <w:fldChar w:fldCharType="begin"/>
                          </w:r>
                          <w:r>
                            <w:instrText xml:space="preserve"> PAGE  \* MERGEFORMAT </w:instrText>
                          </w:r>
                          <w:r>
                            <w:fldChar w:fldCharType="separate"/>
                          </w:r>
                          <w:r>
                            <w:t xml:space="preserve">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7BAEA718">
                    <w:pPr>
                      <w:pStyle w:val="17"/>
                    </w:pPr>
                    <w:r>
                      <w:fldChar w:fldCharType="begin"/>
                    </w:r>
                    <w:r>
                      <w:instrText xml:space="preserve"> PAGE  \* MERGEFORMAT </w:instrText>
                    </w:r>
                    <w:r>
                      <w:fldChar w:fldCharType="separate"/>
                    </w:r>
                    <w:r>
                      <w:t xml:space="preserve">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65597">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56B0A">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F1AE3">
    <w:pPr>
      <w:pStyle w:val="62"/>
      <w:rPr>
        <w:rFonts w:hint="eastAsia"/>
      </w:rPr>
    </w:pPr>
    <w:r>
      <w:fldChar w:fldCharType="begin"/>
    </w:r>
    <w:r>
      <w:instrText xml:space="preserve"> STYLEREF  标准文件_文件编号  \* MERGEFORMAT </w:instrText>
    </w:r>
    <w:r>
      <w:fldChar w:fldCharType="separate"/>
    </w:r>
    <w:r>
      <w:t>T/JSYX 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8BD394F"/>
    <w:multiLevelType w:val="multilevel"/>
    <w:tmpl w:val="18BD394F"/>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7"/>
      <w:suff w:val="nothing"/>
      <w:lvlText w:val="%1.%2　"/>
      <w:lvlJc w:val="left"/>
      <w:pPr>
        <w:ind w:left="21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240"/>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0"/>
  </w:num>
  <w:num w:numId="6">
    <w:abstractNumId w:val="15"/>
  </w:num>
  <w:num w:numId="7">
    <w:abstractNumId w:val="9"/>
  </w:num>
  <w:num w:numId="8">
    <w:abstractNumId w:val="3"/>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1"/>
  </w:num>
  <w:num w:numId="21">
    <w:abstractNumId w:val="12"/>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6"/>
  </w:num>
  <w:num w:numId="30">
    <w:abstractNumId w:val="26"/>
  </w:num>
  <w:num w:numId="31">
    <w:abstractNumId w:val="24"/>
  </w:num>
  <w:num w:numId="32">
    <w:abstractNumId w:val="11"/>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JjY2JjZWJhNzgxYmQ4ZDNjYWE0YWU2YmY4NzE1MDUifQ=="/>
  </w:docVars>
  <w:rsids>
    <w:rsidRoot w:val="0041329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2D4"/>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20C"/>
    <w:rsid w:val="000A0B60"/>
    <w:rsid w:val="000A0EB8"/>
    <w:rsid w:val="000A19FC"/>
    <w:rsid w:val="000A296B"/>
    <w:rsid w:val="000A3F8B"/>
    <w:rsid w:val="000A7311"/>
    <w:rsid w:val="000B060F"/>
    <w:rsid w:val="000B1592"/>
    <w:rsid w:val="000B1FF2"/>
    <w:rsid w:val="000B3CDA"/>
    <w:rsid w:val="000B6A0B"/>
    <w:rsid w:val="000C0F6C"/>
    <w:rsid w:val="000C11DB"/>
    <w:rsid w:val="000C1492"/>
    <w:rsid w:val="000C2FBD"/>
    <w:rsid w:val="000C3A51"/>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5572"/>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30A4"/>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5E0C"/>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1E83"/>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6AFF"/>
    <w:rsid w:val="00317432"/>
    <w:rsid w:val="00317988"/>
    <w:rsid w:val="003221B4"/>
    <w:rsid w:val="0032258D"/>
    <w:rsid w:val="00322E62"/>
    <w:rsid w:val="00324D13"/>
    <w:rsid w:val="00324EDD"/>
    <w:rsid w:val="003331E4"/>
    <w:rsid w:val="003343D8"/>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71B"/>
    <w:rsid w:val="003B5BF0"/>
    <w:rsid w:val="003B60BF"/>
    <w:rsid w:val="003B6BE3"/>
    <w:rsid w:val="003C010C"/>
    <w:rsid w:val="003C0A6C"/>
    <w:rsid w:val="003C14F8"/>
    <w:rsid w:val="003C5A43"/>
    <w:rsid w:val="003D0519"/>
    <w:rsid w:val="003D0FF6"/>
    <w:rsid w:val="003D262C"/>
    <w:rsid w:val="003D6D61"/>
    <w:rsid w:val="003E019F"/>
    <w:rsid w:val="003E0392"/>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3290"/>
    <w:rsid w:val="0041477A"/>
    <w:rsid w:val="004167A3"/>
    <w:rsid w:val="00432DAA"/>
    <w:rsid w:val="00434305"/>
    <w:rsid w:val="00434500"/>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0DAC"/>
    <w:rsid w:val="004B2701"/>
    <w:rsid w:val="004B2E1B"/>
    <w:rsid w:val="004B3AA8"/>
    <w:rsid w:val="004B3E93"/>
    <w:rsid w:val="004B51CE"/>
    <w:rsid w:val="004C1FBC"/>
    <w:rsid w:val="004C25A2"/>
    <w:rsid w:val="004C3F1D"/>
    <w:rsid w:val="004C458D"/>
    <w:rsid w:val="004C7556"/>
    <w:rsid w:val="004C7E8B"/>
    <w:rsid w:val="004C7E9D"/>
    <w:rsid w:val="004C7F67"/>
    <w:rsid w:val="004D0185"/>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092"/>
    <w:rsid w:val="00512F6E"/>
    <w:rsid w:val="00513038"/>
    <w:rsid w:val="0051340B"/>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284"/>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68AF"/>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7B4"/>
    <w:rsid w:val="00651ACB"/>
    <w:rsid w:val="00651C47"/>
    <w:rsid w:val="00652AB2"/>
    <w:rsid w:val="00653FED"/>
    <w:rsid w:val="00654EC0"/>
    <w:rsid w:val="0065525B"/>
    <w:rsid w:val="00655D4F"/>
    <w:rsid w:val="00656D29"/>
    <w:rsid w:val="006639D5"/>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001E"/>
    <w:rsid w:val="00693962"/>
    <w:rsid w:val="006A07AA"/>
    <w:rsid w:val="006A25E5"/>
    <w:rsid w:val="006A2B46"/>
    <w:rsid w:val="006A336D"/>
    <w:rsid w:val="006A37B9"/>
    <w:rsid w:val="006A48BA"/>
    <w:rsid w:val="006A5C3E"/>
    <w:rsid w:val="006B2672"/>
    <w:rsid w:val="006B2E73"/>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187A"/>
    <w:rsid w:val="00704387"/>
    <w:rsid w:val="00707669"/>
    <w:rsid w:val="00711CBA"/>
    <w:rsid w:val="00711FB5"/>
    <w:rsid w:val="007121CD"/>
    <w:rsid w:val="00712A01"/>
    <w:rsid w:val="00714F58"/>
    <w:rsid w:val="00722FBF"/>
    <w:rsid w:val="00722FC2"/>
    <w:rsid w:val="00724E1B"/>
    <w:rsid w:val="00725949"/>
    <w:rsid w:val="00726115"/>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176"/>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6A9E"/>
    <w:rsid w:val="0089049D"/>
    <w:rsid w:val="008928C9"/>
    <w:rsid w:val="008930CB"/>
    <w:rsid w:val="008938DC"/>
    <w:rsid w:val="00893FD1"/>
    <w:rsid w:val="00894836"/>
    <w:rsid w:val="00895172"/>
    <w:rsid w:val="0089566D"/>
    <w:rsid w:val="00895680"/>
    <w:rsid w:val="00896DFF"/>
    <w:rsid w:val="0089762C"/>
    <w:rsid w:val="008A173B"/>
    <w:rsid w:val="008A1893"/>
    <w:rsid w:val="008A57E6"/>
    <w:rsid w:val="008A6F81"/>
    <w:rsid w:val="008A769A"/>
    <w:rsid w:val="008B0C9C"/>
    <w:rsid w:val="008B166D"/>
    <w:rsid w:val="008B17F4"/>
    <w:rsid w:val="008B1A80"/>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995"/>
    <w:rsid w:val="008E4BB6"/>
    <w:rsid w:val="008E5518"/>
    <w:rsid w:val="008E6A84"/>
    <w:rsid w:val="008F0CDC"/>
    <w:rsid w:val="008F17A3"/>
    <w:rsid w:val="008F1ED3"/>
    <w:rsid w:val="008F2BB8"/>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3A4C"/>
    <w:rsid w:val="009B6029"/>
    <w:rsid w:val="009B6971"/>
    <w:rsid w:val="009B6B3F"/>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536B"/>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6D8"/>
    <w:rsid w:val="00A4472C"/>
    <w:rsid w:val="00A44E69"/>
    <w:rsid w:val="00A4661E"/>
    <w:rsid w:val="00A55BD6"/>
    <w:rsid w:val="00A55D50"/>
    <w:rsid w:val="00A57142"/>
    <w:rsid w:val="00A648CD"/>
    <w:rsid w:val="00A6537A"/>
    <w:rsid w:val="00A67866"/>
    <w:rsid w:val="00A679DB"/>
    <w:rsid w:val="00A70B07"/>
    <w:rsid w:val="00A723F8"/>
    <w:rsid w:val="00A77CCB"/>
    <w:rsid w:val="00A83D8D"/>
    <w:rsid w:val="00A8446B"/>
    <w:rsid w:val="00A8473F"/>
    <w:rsid w:val="00A862D6"/>
    <w:rsid w:val="00A8715E"/>
    <w:rsid w:val="00A9295B"/>
    <w:rsid w:val="00A93B09"/>
    <w:rsid w:val="00A952D7"/>
    <w:rsid w:val="00A963A2"/>
    <w:rsid w:val="00A963F7"/>
    <w:rsid w:val="00A96AD8"/>
    <w:rsid w:val="00AA052C"/>
    <w:rsid w:val="00AA1E45"/>
    <w:rsid w:val="00AA4286"/>
    <w:rsid w:val="00AA456B"/>
    <w:rsid w:val="00AA57F5"/>
    <w:rsid w:val="00AA672E"/>
    <w:rsid w:val="00AA6EC9"/>
    <w:rsid w:val="00AB3706"/>
    <w:rsid w:val="00AB6309"/>
    <w:rsid w:val="00AB6C5F"/>
    <w:rsid w:val="00AB7129"/>
    <w:rsid w:val="00AC27A6"/>
    <w:rsid w:val="00AC30F7"/>
    <w:rsid w:val="00AC3A5A"/>
    <w:rsid w:val="00AC44F2"/>
    <w:rsid w:val="00AC4D95"/>
    <w:rsid w:val="00AC5DF4"/>
    <w:rsid w:val="00AD0AEF"/>
    <w:rsid w:val="00AD11B7"/>
    <w:rsid w:val="00AD1A94"/>
    <w:rsid w:val="00AD1C05"/>
    <w:rsid w:val="00AD4126"/>
    <w:rsid w:val="00AD421C"/>
    <w:rsid w:val="00AD44FA"/>
    <w:rsid w:val="00AE070A"/>
    <w:rsid w:val="00AE101C"/>
    <w:rsid w:val="00AE2A69"/>
    <w:rsid w:val="00AE37E5"/>
    <w:rsid w:val="00AE5810"/>
    <w:rsid w:val="00AE5EB4"/>
    <w:rsid w:val="00AF0C18"/>
    <w:rsid w:val="00AF47C5"/>
    <w:rsid w:val="00AF5398"/>
    <w:rsid w:val="00B049AF"/>
    <w:rsid w:val="00B053AE"/>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9AE"/>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01A9"/>
    <w:rsid w:val="00BC1A4E"/>
    <w:rsid w:val="00BC5DC7"/>
    <w:rsid w:val="00BC6B8B"/>
    <w:rsid w:val="00BC73D8"/>
    <w:rsid w:val="00BD52D7"/>
    <w:rsid w:val="00BD5AD2"/>
    <w:rsid w:val="00BE22F3"/>
    <w:rsid w:val="00BE5B52"/>
    <w:rsid w:val="00BE5C03"/>
    <w:rsid w:val="00BE7B8D"/>
    <w:rsid w:val="00BF0993"/>
    <w:rsid w:val="00BF10A9"/>
    <w:rsid w:val="00BF1703"/>
    <w:rsid w:val="00BF231C"/>
    <w:rsid w:val="00BF51E5"/>
    <w:rsid w:val="00BF74A6"/>
    <w:rsid w:val="00C013AD"/>
    <w:rsid w:val="00C04904"/>
    <w:rsid w:val="00C056B3"/>
    <w:rsid w:val="00C06E09"/>
    <w:rsid w:val="00C103E5"/>
    <w:rsid w:val="00C13319"/>
    <w:rsid w:val="00C13EE9"/>
    <w:rsid w:val="00C16FC7"/>
    <w:rsid w:val="00C21540"/>
    <w:rsid w:val="00C21906"/>
    <w:rsid w:val="00C21BFA"/>
    <w:rsid w:val="00C24C8D"/>
    <w:rsid w:val="00C25FE2"/>
    <w:rsid w:val="00C26B53"/>
    <w:rsid w:val="00C279B2"/>
    <w:rsid w:val="00C30297"/>
    <w:rsid w:val="00C33E50"/>
    <w:rsid w:val="00C34C20"/>
    <w:rsid w:val="00C35A3E"/>
    <w:rsid w:val="00C35BA3"/>
    <w:rsid w:val="00C36851"/>
    <w:rsid w:val="00C42130"/>
    <w:rsid w:val="00C423A4"/>
    <w:rsid w:val="00C423E3"/>
    <w:rsid w:val="00C44BF5"/>
    <w:rsid w:val="00C47B5B"/>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0B"/>
    <w:rsid w:val="00C96741"/>
    <w:rsid w:val="00CA030C"/>
    <w:rsid w:val="00CA2D1B"/>
    <w:rsid w:val="00CA375D"/>
    <w:rsid w:val="00CA5054"/>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0E06"/>
    <w:rsid w:val="00CD2808"/>
    <w:rsid w:val="00CD28BF"/>
    <w:rsid w:val="00CD4092"/>
    <w:rsid w:val="00CD4A20"/>
    <w:rsid w:val="00CD4C93"/>
    <w:rsid w:val="00CD50A1"/>
    <w:rsid w:val="00CD519E"/>
    <w:rsid w:val="00CE0C4F"/>
    <w:rsid w:val="00CE30EA"/>
    <w:rsid w:val="00CE318E"/>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44E6"/>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0720"/>
    <w:rsid w:val="00DC3067"/>
    <w:rsid w:val="00DC370B"/>
    <w:rsid w:val="00DC39B5"/>
    <w:rsid w:val="00DC5B90"/>
    <w:rsid w:val="00DD00FF"/>
    <w:rsid w:val="00DD0619"/>
    <w:rsid w:val="00DD07FB"/>
    <w:rsid w:val="00DD25C6"/>
    <w:rsid w:val="00DD4FE5"/>
    <w:rsid w:val="00DD54B0"/>
    <w:rsid w:val="00DD57EE"/>
    <w:rsid w:val="00DD6BCC"/>
    <w:rsid w:val="00DD7AF8"/>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69EB"/>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367"/>
    <w:rsid w:val="00EA681A"/>
    <w:rsid w:val="00EA735B"/>
    <w:rsid w:val="00EB1E69"/>
    <w:rsid w:val="00EB2086"/>
    <w:rsid w:val="00EB31ED"/>
    <w:rsid w:val="00EB5EDF"/>
    <w:rsid w:val="00EB60FE"/>
    <w:rsid w:val="00EB74DB"/>
    <w:rsid w:val="00EC3339"/>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1896"/>
    <w:rsid w:val="00F420D5"/>
    <w:rsid w:val="00F451EA"/>
    <w:rsid w:val="00F45447"/>
    <w:rsid w:val="00F456C6"/>
    <w:rsid w:val="00F4577B"/>
    <w:rsid w:val="00F46496"/>
    <w:rsid w:val="00F474D0"/>
    <w:rsid w:val="00F50179"/>
    <w:rsid w:val="00F515EE"/>
    <w:rsid w:val="00F54C4B"/>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0FBF"/>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10F3"/>
    <w:rsid w:val="00FF3E7D"/>
    <w:rsid w:val="00FF5B99"/>
    <w:rsid w:val="00FF730C"/>
    <w:rsid w:val="00FF73F4"/>
    <w:rsid w:val="00FF7CE4"/>
    <w:rsid w:val="00FF7E39"/>
    <w:rsid w:val="05F96EC6"/>
    <w:rsid w:val="0768431A"/>
    <w:rsid w:val="0D9F31AB"/>
    <w:rsid w:val="119200E9"/>
    <w:rsid w:val="14005E78"/>
    <w:rsid w:val="17C23687"/>
    <w:rsid w:val="1DE60869"/>
    <w:rsid w:val="1FDD3547"/>
    <w:rsid w:val="318D3FEB"/>
    <w:rsid w:val="3B5D137F"/>
    <w:rsid w:val="3F406A9A"/>
    <w:rsid w:val="400B37EE"/>
    <w:rsid w:val="41DB2FFE"/>
    <w:rsid w:val="4C2045B3"/>
    <w:rsid w:val="4C232F22"/>
    <w:rsid w:val="520E6FBD"/>
    <w:rsid w:val="57B13C22"/>
    <w:rsid w:val="58034C84"/>
    <w:rsid w:val="59367971"/>
    <w:rsid w:val="5E5B30A5"/>
    <w:rsid w:val="61EE62B8"/>
    <w:rsid w:val="67AF422A"/>
    <w:rsid w:val="6C3742E2"/>
    <w:rsid w:val="6DC865CF"/>
    <w:rsid w:val="6DEC4808"/>
    <w:rsid w:val="7329331A"/>
    <w:rsid w:val="74715DBB"/>
    <w:rsid w:val="76B34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qFormat/>
    <w:uiPriority w:val="0"/>
    <w:pPr>
      <w:spacing w:beforeAutospacing="1" w:afterAutospacing="1"/>
      <w:jc w:val="left"/>
    </w:pPr>
    <w:rPr>
      <w:kern w:val="0"/>
      <w:sz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32">
    <w:name w:val="修订1"/>
    <w:hidden/>
    <w:semiHidden/>
    <w:qFormat/>
    <w:uiPriority w:val="99"/>
    <w:rPr>
      <w:rFonts w:ascii="Calibri" w:hAnsi="Calibri" w:eastAsia="宋体" w:cs="Times New Roman"/>
      <w:kern w:val="2"/>
      <w:sz w:val="21"/>
      <w:szCs w:val="21"/>
      <w:lang w:val="en-US" w:eastAsia="zh-CN" w:bidi="ar-SA"/>
    </w:rPr>
  </w:style>
  <w:style w:type="paragraph" w:customStyle="1" w:styleId="233">
    <w:name w:val="前言、引言标题"/>
    <w:next w:val="234"/>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34">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5">
    <w:name w:val="目次、标准名称标题"/>
    <w:basedOn w:val="1"/>
    <w:next w:val="23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36">
    <w:name w:val="章标题"/>
    <w:next w:val="234"/>
    <w:qFormat/>
    <w:uiPriority w:val="0"/>
    <w:pPr>
      <w:numPr>
        <w:ilvl w:val="0"/>
        <w:numId w:val="3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7">
    <w:name w:val="一级条标题"/>
    <w:next w:val="234"/>
    <w:qFormat/>
    <w:uiPriority w:val="0"/>
    <w:pPr>
      <w:numPr>
        <w:ilvl w:val="1"/>
        <w:numId w:val="3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8">
    <w:name w:val="终结线"/>
    <w:basedOn w:val="1"/>
    <w:qFormat/>
    <w:uiPriority w:val="0"/>
    <w:pPr>
      <w:framePr w:hSpace="181" w:vSpace="181" w:wrap="around" w:vAnchor="text" w:hAnchor="margin" w:xAlign="center" w:y="285"/>
    </w:pPr>
  </w:style>
  <w:style w:type="paragraph" w:customStyle="1" w:styleId="239">
    <w:name w:val="二级无"/>
    <w:basedOn w:val="240"/>
    <w:qFormat/>
    <w:uiPriority w:val="0"/>
    <w:pPr>
      <w:spacing w:before="0" w:beforeLines="0" w:after="0" w:afterLines="0"/>
    </w:pPr>
    <w:rPr>
      <w:rFonts w:ascii="宋体" w:eastAsia="宋体"/>
    </w:rPr>
  </w:style>
  <w:style w:type="paragraph" w:customStyle="1" w:styleId="240">
    <w:name w:val="二级条标题"/>
    <w:basedOn w:val="237"/>
    <w:next w:val="234"/>
    <w:qFormat/>
    <w:uiPriority w:val="0"/>
    <w:pPr>
      <w:numPr>
        <w:ilvl w:val="2"/>
      </w:numPr>
      <w:spacing w:before="50" w:after="50"/>
      <w:outlineLvl w:val="3"/>
    </w:pPr>
  </w:style>
  <w:style w:type="paragraph" w:customStyle="1" w:styleId="241">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4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4.jpeg"/><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DAC648EA6884F06ABE822C1C845BA5B"/>
        <w:style w:val=""/>
        <w:category>
          <w:name w:val="常规"/>
          <w:gallery w:val="placeholder"/>
        </w:category>
        <w:types>
          <w:type w:val="bbPlcHdr"/>
        </w:types>
        <w:behaviors>
          <w:behavior w:val="content"/>
        </w:behaviors>
        <w:description w:val=""/>
        <w:guid w:val="{A179A00E-40E8-420E-859E-962023386F85}"/>
      </w:docPartPr>
      <w:docPartBody>
        <w:p w14:paraId="6925F0B9">
          <w:pPr>
            <w:pStyle w:val="5"/>
            <w:rPr>
              <w:rFonts w:hint="eastAsia"/>
            </w:rPr>
          </w:pPr>
          <w:r>
            <w:rPr>
              <w:rStyle w:val="4"/>
              <w:rFonts w:hint="eastAsia"/>
            </w:rPr>
            <w:t>单击或点击此处输入文字。</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200"/>
    <w:rsid w:val="00000FD0"/>
    <w:rsid w:val="000F15D6"/>
    <w:rsid w:val="001F5403"/>
    <w:rsid w:val="00205E6D"/>
    <w:rsid w:val="002D10F1"/>
    <w:rsid w:val="002F4DB0"/>
    <w:rsid w:val="00300899"/>
    <w:rsid w:val="00320200"/>
    <w:rsid w:val="003D2CD7"/>
    <w:rsid w:val="003E67C2"/>
    <w:rsid w:val="0049601E"/>
    <w:rsid w:val="0051208A"/>
    <w:rsid w:val="005A1E3E"/>
    <w:rsid w:val="005A5931"/>
    <w:rsid w:val="00843067"/>
    <w:rsid w:val="00A20596"/>
    <w:rsid w:val="00A239D0"/>
    <w:rsid w:val="00C725D7"/>
    <w:rsid w:val="00CC13DD"/>
    <w:rsid w:val="00CD0E06"/>
    <w:rsid w:val="00E05884"/>
    <w:rsid w:val="00EC33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FDAC648EA6884F06ABE822C1C845BA5B"/>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7</Pages>
  <Words>1686</Words>
  <Characters>1994</Characters>
  <Lines>28</Lines>
  <Paragraphs>8</Paragraphs>
  <TotalTime>21</TotalTime>
  <ScaleCrop>false</ScaleCrop>
  <LinksUpToDate>false</LinksUpToDate>
  <CharactersWithSpaces>2075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2025-01-07T01:42:00Z</dcterms:created>
  <dc:creator>Wanghui</dc:creator>
  <dc:description>&lt;config cover="true" show_menu="true" version="1.0.0" doctype="SDKXY"&gt;_x000d_
&lt;/config&gt;</dc:description>
  <cp:lastModifiedBy>zouyong</cp:lastModifiedBy>
  <cp:lastPrinted>2021-02-02T08:22:00Z</cp:lastPrinted>
  <dcterms:modified xsi:type="dcterms:W3CDTF">2025-01-22T08:08:13Z</dcterms:modified>
  <dc:title>团体标准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2052-12.1.0.19770</vt:lpwstr>
  </property>
  <property fmtid="{D5CDD505-2E9C-101B-9397-08002B2CF9AE}" pid="15" name="ICV">
    <vt:lpwstr>1CA9E8E934BB456E9E2791F97DE81180_13</vt:lpwstr>
  </property>
  <property fmtid="{D5CDD505-2E9C-101B-9397-08002B2CF9AE}" pid="16" name="KSOTemplateDocerSaveRecord">
    <vt:lpwstr>eyJoZGlkIjoiOGQ4MDFiNWQ5YTUyZDY0MzM4ZmE2NTFkMjM1YmI2MzEiLCJ1c2VySWQiOiI1NjMzNDg4NzgifQ==</vt:lpwstr>
  </property>
</Properties>
</file>