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4BC30A">
      <w:pPr>
        <w:spacing w:before="62" w:after="62"/>
        <w:rPr>
          <w:rFonts w:ascii="Times New Roman" w:hAnsi="Times New Roman" w:cs="Times New Roman"/>
        </w:rPr>
      </w:pPr>
      <w:bookmarkStart w:id="0" w:name="_Hlk169699259"/>
      <w:bookmarkEnd w:id="0"/>
    </w:p>
    <w:p w14:paraId="7B862860">
      <w:pPr>
        <w:spacing w:before="62" w:after="62"/>
        <w:rPr>
          <w:rFonts w:ascii="Times New Roman" w:hAnsi="Times New Roman" w:cs="Times New Roman"/>
        </w:rPr>
      </w:pPr>
    </w:p>
    <w:p w14:paraId="64C7F198">
      <w:pPr>
        <w:spacing w:before="62" w:after="62"/>
        <w:rPr>
          <w:rFonts w:ascii="Times New Roman" w:hAnsi="Times New Roman" w:cs="Times New Roman"/>
        </w:rPr>
      </w:pPr>
    </w:p>
    <w:p w14:paraId="658C44D6">
      <w:pPr>
        <w:spacing w:before="62" w:after="62" w:line="480" w:lineRule="auto"/>
        <w:ind w:firstLine="0" w:firstLineChars="0"/>
        <w:jc w:val="center"/>
        <w:rPr>
          <w:rFonts w:ascii="Times New Roman" w:hAnsi="Times New Roman" w:eastAsia="黑体" w:cs="Times New Roman"/>
          <w:sz w:val="48"/>
          <w:szCs w:val="48"/>
        </w:rPr>
      </w:pPr>
      <w:r>
        <w:rPr>
          <w:rFonts w:ascii="Times New Roman" w:hAnsi="Times New Roman" w:eastAsia="黑体" w:cs="Times New Roman"/>
          <w:sz w:val="48"/>
          <w:szCs w:val="48"/>
        </w:rPr>
        <w:t>淡水池塘标准化建设改造技术规范</w:t>
      </w:r>
    </w:p>
    <w:p w14:paraId="51399FCE">
      <w:pPr>
        <w:spacing w:before="62" w:after="62" w:line="480" w:lineRule="auto"/>
        <w:ind w:firstLine="0" w:firstLineChars="0"/>
        <w:jc w:val="center"/>
        <w:rPr>
          <w:rFonts w:ascii="Times New Roman" w:hAnsi="Times New Roman" w:eastAsia="黑体" w:cs="Times New Roman"/>
          <w:sz w:val="48"/>
          <w:szCs w:val="48"/>
        </w:rPr>
      </w:pPr>
      <w:r>
        <w:rPr>
          <w:rFonts w:ascii="Times New Roman" w:hAnsi="Times New Roman" w:eastAsia="黑体" w:cs="Times New Roman"/>
          <w:sz w:val="48"/>
          <w:szCs w:val="48"/>
        </w:rPr>
        <w:t>编制说明</w:t>
      </w:r>
    </w:p>
    <w:p w14:paraId="2AB4886A">
      <w:pPr>
        <w:spacing w:before="62" w:after="62"/>
        <w:ind w:firstLine="960"/>
        <w:rPr>
          <w:rFonts w:ascii="Times New Roman" w:hAnsi="Times New Roman" w:eastAsia="黑体" w:cs="Times New Roman"/>
          <w:sz w:val="48"/>
          <w:szCs w:val="48"/>
        </w:rPr>
      </w:pPr>
    </w:p>
    <w:p w14:paraId="6AE21788">
      <w:pPr>
        <w:spacing w:before="62" w:after="62"/>
        <w:rPr>
          <w:rFonts w:ascii="Times New Roman" w:hAnsi="Times New Roman" w:cs="Times New Roman"/>
        </w:rPr>
      </w:pPr>
    </w:p>
    <w:p w14:paraId="7EADB21D">
      <w:pPr>
        <w:spacing w:before="62" w:after="62"/>
        <w:ind w:left="0" w:leftChars="0" w:firstLine="0" w:firstLineChars="0"/>
        <w:jc w:val="center"/>
        <w:rPr>
          <w:rFonts w:hint="default" w:ascii="Times New Roman" w:hAnsi="Times New Roman" w:eastAsia="宋体" w:cs="Times New Roman"/>
          <w:sz w:val="32"/>
          <w:szCs w:val="32"/>
          <w:lang w:val="en-US" w:eastAsia="zh-CN"/>
        </w:rPr>
      </w:pPr>
      <w:r>
        <w:rPr>
          <w:rFonts w:hint="eastAsia" w:ascii="Times New Roman" w:hAnsi="Times New Roman" w:cs="Times New Roman"/>
          <w:sz w:val="32"/>
          <w:szCs w:val="32"/>
          <w:lang w:val="en-US" w:eastAsia="zh-CN"/>
        </w:rPr>
        <w:t>（</w:t>
      </w:r>
      <w:r>
        <w:rPr>
          <w:rFonts w:hint="eastAsia" w:ascii="Times New Roman" w:hAnsi="Times New Roman" w:cs="Times New Roman"/>
          <w:sz w:val="32"/>
          <w:szCs w:val="32"/>
          <w:lang w:val="en-US" w:eastAsia="zh-CN"/>
        </w:rPr>
        <w:t>征求意见稿</w:t>
      </w:r>
      <w:r>
        <w:rPr>
          <w:rFonts w:hint="eastAsia" w:ascii="Times New Roman" w:hAnsi="Times New Roman" w:cs="Times New Roman"/>
          <w:sz w:val="32"/>
          <w:szCs w:val="32"/>
          <w:lang w:val="en-US" w:eastAsia="zh-CN"/>
        </w:rPr>
        <w:t>）</w:t>
      </w:r>
      <w:bookmarkStart w:id="37" w:name="_GoBack"/>
      <w:bookmarkEnd w:id="37"/>
    </w:p>
    <w:p w14:paraId="68971086">
      <w:pPr>
        <w:spacing w:before="62" w:after="62"/>
        <w:rPr>
          <w:rFonts w:ascii="Times New Roman" w:hAnsi="Times New Roman" w:cs="Times New Roman"/>
        </w:rPr>
      </w:pPr>
    </w:p>
    <w:p w14:paraId="0661C69D">
      <w:pPr>
        <w:spacing w:before="62" w:after="62"/>
        <w:rPr>
          <w:rFonts w:ascii="Times New Roman" w:hAnsi="Times New Roman" w:cs="Times New Roman"/>
        </w:rPr>
      </w:pPr>
    </w:p>
    <w:p w14:paraId="700D3805">
      <w:pPr>
        <w:spacing w:before="62" w:after="62"/>
        <w:rPr>
          <w:rFonts w:ascii="Times New Roman" w:hAnsi="Times New Roman" w:cs="Times New Roman"/>
        </w:rPr>
      </w:pPr>
    </w:p>
    <w:p w14:paraId="462B007E">
      <w:pPr>
        <w:spacing w:before="62" w:after="62"/>
        <w:rPr>
          <w:rFonts w:ascii="Times New Roman" w:hAnsi="Times New Roman" w:cs="Times New Roman"/>
        </w:rPr>
      </w:pPr>
    </w:p>
    <w:p w14:paraId="7ABEB22B">
      <w:pPr>
        <w:spacing w:before="62" w:after="62"/>
        <w:rPr>
          <w:rFonts w:ascii="Times New Roman" w:hAnsi="Times New Roman" w:cs="Times New Roman"/>
        </w:rPr>
      </w:pPr>
    </w:p>
    <w:p w14:paraId="00C61802">
      <w:pPr>
        <w:spacing w:before="62" w:after="62"/>
        <w:rPr>
          <w:rFonts w:ascii="Times New Roman" w:hAnsi="Times New Roman" w:cs="Times New Roman"/>
        </w:rPr>
      </w:pPr>
    </w:p>
    <w:p w14:paraId="4A93A5EB">
      <w:pPr>
        <w:spacing w:before="62" w:after="62"/>
        <w:rPr>
          <w:rFonts w:ascii="Times New Roman" w:hAnsi="Times New Roman" w:cs="Times New Roman"/>
        </w:rPr>
      </w:pPr>
    </w:p>
    <w:p w14:paraId="1D51141F">
      <w:pPr>
        <w:spacing w:before="62" w:after="62"/>
        <w:rPr>
          <w:rFonts w:ascii="Times New Roman" w:hAnsi="Times New Roman" w:cs="Times New Roman"/>
        </w:rPr>
      </w:pPr>
    </w:p>
    <w:p w14:paraId="4A7DAFD8">
      <w:pPr>
        <w:tabs>
          <w:tab w:val="left" w:pos="6990"/>
        </w:tabs>
        <w:spacing w:before="62" w:after="62"/>
        <w:rPr>
          <w:rFonts w:ascii="Times New Roman" w:hAnsi="Times New Roman" w:cs="Times New Roman"/>
        </w:rPr>
      </w:pPr>
      <w:r>
        <w:rPr>
          <w:rFonts w:ascii="Times New Roman" w:hAnsi="Times New Roman" w:cs="Times New Roman"/>
        </w:rPr>
        <w:tab/>
      </w:r>
    </w:p>
    <w:p w14:paraId="52CFCF5A">
      <w:pPr>
        <w:spacing w:before="62" w:after="62"/>
        <w:rPr>
          <w:rFonts w:ascii="Times New Roman" w:hAnsi="Times New Roman" w:cs="Times New Roman"/>
        </w:rPr>
      </w:pPr>
    </w:p>
    <w:p w14:paraId="0952A064">
      <w:pPr>
        <w:spacing w:before="62" w:after="62"/>
        <w:rPr>
          <w:rFonts w:ascii="Times New Roman" w:hAnsi="Times New Roman" w:cs="Times New Roman"/>
        </w:rPr>
      </w:pPr>
    </w:p>
    <w:p w14:paraId="41DFD6FF">
      <w:pPr>
        <w:spacing w:before="62" w:after="62"/>
        <w:ind w:firstLine="0" w:firstLineChars="0"/>
        <w:jc w:val="center"/>
        <w:rPr>
          <w:rFonts w:ascii="Times New Roman" w:hAnsi="Times New Roman" w:eastAsia="黑体" w:cs="Times New Roman"/>
          <w:sz w:val="28"/>
          <w:szCs w:val="28"/>
        </w:rPr>
      </w:pPr>
      <w:r>
        <w:rPr>
          <w:rFonts w:ascii="Times New Roman" w:hAnsi="Times New Roman" w:eastAsia="黑体" w:cs="Times New Roman"/>
          <w:sz w:val="28"/>
          <w:szCs w:val="28"/>
        </w:rPr>
        <w:t>《淡水池塘标准化建设改造技术规范》编制组</w:t>
      </w:r>
    </w:p>
    <w:p w14:paraId="4347D718">
      <w:pPr>
        <w:ind w:firstLine="0" w:firstLineChars="0"/>
        <w:jc w:val="center"/>
        <w:rPr>
          <w:rFonts w:ascii="Times New Roman" w:hAnsi="Times New Roman" w:eastAsia="黑体" w:cs="Times New Roman"/>
          <w:sz w:val="28"/>
          <w:szCs w:val="28"/>
        </w:rPr>
      </w:pPr>
      <w:r>
        <w:rPr>
          <w:rFonts w:ascii="Times New Roman" w:hAnsi="Times New Roman" w:eastAsia="黑体" w:cs="Times New Roman"/>
          <w:sz w:val="28"/>
          <w:szCs w:val="28"/>
        </w:rPr>
        <w:t>2024年12月</w:t>
      </w:r>
    </w:p>
    <w:p w14:paraId="1F528101">
      <w:pPr>
        <w:pStyle w:val="17"/>
        <w:ind w:firstLine="420"/>
        <w:jc w:val="center"/>
        <w:rPr>
          <w:rFonts w:ascii="Times New Roman" w:hAnsi="Times New Roman" w:eastAsia="宋体" w:cs="Times New Roman"/>
          <w:color w:val="auto"/>
          <w:kern w:val="2"/>
          <w:sz w:val="21"/>
          <w:szCs w:val="22"/>
          <w:lang w:val="zh-CN"/>
        </w:rPr>
        <w:sectPr>
          <w:headerReference r:id="rId7" w:type="first"/>
          <w:footerReference r:id="rId10" w:type="first"/>
          <w:headerReference r:id="rId5" w:type="default"/>
          <w:footerReference r:id="rId8" w:type="default"/>
          <w:headerReference r:id="rId6" w:type="even"/>
          <w:footerReference r:id="rId9" w:type="even"/>
          <w:pgSz w:w="11906" w:h="16838"/>
          <w:pgMar w:top="1134" w:right="1134" w:bottom="1134" w:left="1417" w:header="851" w:footer="992" w:gutter="0"/>
          <w:cols w:space="425" w:num="1"/>
          <w:docGrid w:type="lines" w:linePitch="312" w:charSpace="0"/>
        </w:sectPr>
      </w:pPr>
    </w:p>
    <w:sdt>
      <w:sdtPr>
        <w:rPr>
          <w:rFonts w:ascii="Times New Roman" w:hAnsi="Times New Roman" w:eastAsia="宋体" w:cs="Times New Roman"/>
          <w:color w:val="auto"/>
          <w:kern w:val="2"/>
          <w:sz w:val="21"/>
          <w:szCs w:val="22"/>
          <w:lang w:val="zh-CN"/>
        </w:rPr>
        <w:id w:val="-1708795080"/>
        <w:docPartObj>
          <w:docPartGallery w:val="Table of Contents"/>
          <w:docPartUnique/>
        </w:docPartObj>
      </w:sdtPr>
      <w:sdtEndPr>
        <w:rPr>
          <w:rFonts w:ascii="Times New Roman" w:hAnsi="Times New Roman" w:eastAsia="宋体" w:cs="Times New Roman"/>
          <w:b/>
          <w:bCs/>
          <w:color w:val="auto"/>
          <w:kern w:val="2"/>
          <w:sz w:val="21"/>
          <w:szCs w:val="22"/>
          <w:lang w:val="zh-CN"/>
        </w:rPr>
      </w:sdtEndPr>
      <w:sdtContent>
        <w:p w14:paraId="254D4E17">
          <w:pPr>
            <w:pStyle w:val="17"/>
            <w:ind w:firstLine="420"/>
            <w:jc w:val="center"/>
            <w:rPr>
              <w:rFonts w:ascii="Times New Roman" w:hAnsi="Times New Roman" w:eastAsia="黑体" w:cs="Times New Roman"/>
              <w:color w:val="auto"/>
            </w:rPr>
          </w:pPr>
          <w:r>
            <w:rPr>
              <w:rFonts w:ascii="Times New Roman" w:hAnsi="Times New Roman" w:eastAsia="黑体" w:cs="Times New Roman"/>
              <w:color w:val="auto"/>
              <w:lang w:val="zh-CN"/>
            </w:rPr>
            <w:t>目 录</w:t>
          </w:r>
        </w:p>
        <w:p w14:paraId="66D3210C">
          <w:pPr>
            <w:pStyle w:val="8"/>
            <w:tabs>
              <w:tab w:val="right" w:leader="dot" w:pos="9345"/>
            </w:tabs>
            <w:ind w:firstLine="440"/>
            <w:rPr>
              <w:rFonts w:hint="eastAsia" w:cstheme="minorBidi"/>
              <w:kern w:val="2"/>
              <w14:ligatures w14:val="standardContextual"/>
            </w:rPr>
          </w:pPr>
          <w:r>
            <w:rPr>
              <w:rFonts w:ascii="Times New Roman" w:hAnsi="Times New Roman" w:cs="Times New Roman"/>
            </w:rPr>
            <w:fldChar w:fldCharType="begin"/>
          </w:r>
          <w:r>
            <w:rPr>
              <w:rFonts w:ascii="Times New Roman" w:hAnsi="Times New Roman" w:cs="Times New Roman"/>
            </w:rPr>
            <w:instrText xml:space="preserve"> TOC \o "1-3" \h \z \u </w:instrText>
          </w:r>
          <w:r>
            <w:rPr>
              <w:rFonts w:ascii="Times New Roman" w:hAnsi="Times New Roman" w:cs="Times New Roman"/>
            </w:rPr>
            <w:fldChar w:fldCharType="separate"/>
          </w:r>
          <w:r>
            <w:fldChar w:fldCharType="begin"/>
          </w:r>
          <w:r>
            <w:instrText xml:space="preserve"> HYPERLINK \l "_Toc186557616" </w:instrText>
          </w:r>
          <w:r>
            <w:fldChar w:fldCharType="separate"/>
          </w:r>
          <w:r>
            <w:rPr>
              <w:rStyle w:val="13"/>
              <w:rFonts w:hint="eastAsia" w:ascii="Times New Roman" w:hAnsi="Times New Roman" w:eastAsia="黑体" w:cs="Times New Roman"/>
            </w:rPr>
            <w:t>1 工作简况</w:t>
          </w:r>
          <w:r>
            <w:rPr>
              <w:rFonts w:hint="eastAsia"/>
            </w:rPr>
            <w:tab/>
          </w:r>
          <w:r>
            <w:rPr>
              <w:rFonts w:hint="eastAsia"/>
            </w:rPr>
            <w:fldChar w:fldCharType="begin"/>
          </w:r>
          <w:r>
            <w:rPr>
              <w:rFonts w:hint="eastAsia"/>
            </w:rPr>
            <w:instrText xml:space="preserve"> </w:instrText>
          </w:r>
          <w:r>
            <w:instrText xml:space="preserve">PAGEREF _Toc186557616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4CA7AE83">
          <w:pPr>
            <w:pStyle w:val="9"/>
            <w:tabs>
              <w:tab w:val="right" w:leader="dot" w:pos="9345"/>
            </w:tabs>
            <w:ind w:firstLine="440"/>
            <w:rPr>
              <w:rFonts w:hint="eastAsia" w:cstheme="minorBidi"/>
              <w:kern w:val="2"/>
              <w14:ligatures w14:val="standardContextual"/>
            </w:rPr>
          </w:pPr>
          <w:r>
            <w:fldChar w:fldCharType="begin"/>
          </w:r>
          <w:r>
            <w:instrText xml:space="preserve"> HYPERLINK \l "_Toc186557617" </w:instrText>
          </w:r>
          <w:r>
            <w:fldChar w:fldCharType="separate"/>
          </w:r>
          <w:r>
            <w:rPr>
              <w:rStyle w:val="13"/>
              <w:rFonts w:hint="eastAsia" w:ascii="Times New Roman" w:hAnsi="Times New Roman" w:eastAsia="黑体" w:cs="Times New Roman"/>
            </w:rPr>
            <w:t>1.1 任务来源</w:t>
          </w:r>
          <w:r>
            <w:rPr>
              <w:rFonts w:hint="eastAsia"/>
            </w:rPr>
            <w:tab/>
          </w:r>
          <w:r>
            <w:rPr>
              <w:rFonts w:hint="eastAsia"/>
            </w:rPr>
            <w:fldChar w:fldCharType="begin"/>
          </w:r>
          <w:r>
            <w:rPr>
              <w:rFonts w:hint="eastAsia"/>
            </w:rPr>
            <w:instrText xml:space="preserve"> </w:instrText>
          </w:r>
          <w:r>
            <w:instrText xml:space="preserve">PAGEREF _Toc186557617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57DEB9AB">
          <w:pPr>
            <w:pStyle w:val="9"/>
            <w:tabs>
              <w:tab w:val="right" w:leader="dot" w:pos="9345"/>
            </w:tabs>
            <w:ind w:firstLine="440"/>
            <w:rPr>
              <w:rFonts w:hint="eastAsia" w:cstheme="minorBidi"/>
              <w:kern w:val="2"/>
              <w14:ligatures w14:val="standardContextual"/>
            </w:rPr>
          </w:pPr>
          <w:r>
            <w:fldChar w:fldCharType="begin"/>
          </w:r>
          <w:r>
            <w:instrText xml:space="preserve"> HYPERLINK \l "_Toc186557618" </w:instrText>
          </w:r>
          <w:r>
            <w:fldChar w:fldCharType="separate"/>
          </w:r>
          <w:r>
            <w:rPr>
              <w:rStyle w:val="13"/>
              <w:rFonts w:hint="eastAsia" w:ascii="Times New Roman" w:hAnsi="Times New Roman" w:eastAsia="黑体" w:cs="Times New Roman"/>
            </w:rPr>
            <w:t>1.2 起草单位</w:t>
          </w:r>
          <w:r>
            <w:rPr>
              <w:rFonts w:hint="eastAsia"/>
            </w:rPr>
            <w:tab/>
          </w:r>
          <w:r>
            <w:rPr>
              <w:rFonts w:hint="eastAsia"/>
            </w:rPr>
            <w:fldChar w:fldCharType="begin"/>
          </w:r>
          <w:r>
            <w:rPr>
              <w:rFonts w:hint="eastAsia"/>
            </w:rPr>
            <w:instrText xml:space="preserve"> </w:instrText>
          </w:r>
          <w:r>
            <w:instrText xml:space="preserve">PAGEREF _Toc186557618 \h</w:instrText>
          </w:r>
          <w:r>
            <w:rPr>
              <w:rFonts w:hint="eastAsia"/>
            </w:rPr>
            <w:instrText xml:space="preserve"> </w:instrText>
          </w:r>
          <w:r>
            <w:fldChar w:fldCharType="separate"/>
          </w:r>
          <w:r>
            <w:t>2</w:t>
          </w:r>
          <w:r>
            <w:rPr>
              <w:rFonts w:hint="eastAsia"/>
            </w:rPr>
            <w:fldChar w:fldCharType="end"/>
          </w:r>
          <w:r>
            <w:rPr>
              <w:rFonts w:hint="eastAsia"/>
            </w:rPr>
            <w:fldChar w:fldCharType="end"/>
          </w:r>
        </w:p>
        <w:p w14:paraId="1685CC69">
          <w:pPr>
            <w:pStyle w:val="9"/>
            <w:tabs>
              <w:tab w:val="right" w:leader="dot" w:pos="9345"/>
            </w:tabs>
            <w:ind w:firstLine="440"/>
            <w:rPr>
              <w:rFonts w:hint="eastAsia" w:cstheme="minorBidi"/>
              <w:kern w:val="2"/>
              <w14:ligatures w14:val="standardContextual"/>
            </w:rPr>
          </w:pPr>
          <w:r>
            <w:fldChar w:fldCharType="begin"/>
          </w:r>
          <w:r>
            <w:instrText xml:space="preserve"> HYPERLINK \l "_Toc186557619" </w:instrText>
          </w:r>
          <w:r>
            <w:fldChar w:fldCharType="separate"/>
          </w:r>
          <w:r>
            <w:rPr>
              <w:rStyle w:val="13"/>
              <w:rFonts w:hint="eastAsia" w:ascii="Times New Roman" w:hAnsi="Times New Roman" w:eastAsia="黑体" w:cs="Times New Roman"/>
            </w:rPr>
            <w:t>1.3 主要工作过程</w:t>
          </w:r>
          <w:r>
            <w:rPr>
              <w:rFonts w:hint="eastAsia"/>
            </w:rPr>
            <w:tab/>
          </w:r>
          <w:r>
            <w:rPr>
              <w:rFonts w:hint="eastAsia"/>
            </w:rPr>
            <w:fldChar w:fldCharType="begin"/>
          </w:r>
          <w:r>
            <w:rPr>
              <w:rFonts w:hint="eastAsia"/>
            </w:rPr>
            <w:instrText xml:space="preserve"> </w:instrText>
          </w:r>
          <w:r>
            <w:instrText xml:space="preserve">PAGEREF _Toc186557619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25FF9237">
          <w:pPr>
            <w:pStyle w:val="9"/>
            <w:tabs>
              <w:tab w:val="right" w:leader="dot" w:pos="9345"/>
            </w:tabs>
            <w:ind w:firstLine="440"/>
            <w:rPr>
              <w:rFonts w:hint="eastAsia" w:cstheme="minorBidi"/>
              <w:kern w:val="2"/>
              <w14:ligatures w14:val="standardContextual"/>
            </w:rPr>
          </w:pPr>
          <w:r>
            <w:fldChar w:fldCharType="begin"/>
          </w:r>
          <w:r>
            <w:instrText xml:space="preserve"> HYPERLINK \l "_Toc186557620" </w:instrText>
          </w:r>
          <w:r>
            <w:fldChar w:fldCharType="separate"/>
          </w:r>
          <w:r>
            <w:rPr>
              <w:rStyle w:val="13"/>
              <w:rFonts w:hint="eastAsia" w:ascii="Times New Roman" w:hAnsi="Times New Roman" w:eastAsia="黑体" w:cs="Times New Roman"/>
            </w:rPr>
            <w:t>1.4 主要起草人员及分工</w:t>
          </w:r>
          <w:r>
            <w:rPr>
              <w:rFonts w:hint="eastAsia"/>
            </w:rPr>
            <w:tab/>
          </w:r>
          <w:r>
            <w:rPr>
              <w:rFonts w:hint="eastAsia"/>
            </w:rPr>
            <w:fldChar w:fldCharType="begin"/>
          </w:r>
          <w:r>
            <w:rPr>
              <w:rFonts w:hint="eastAsia"/>
            </w:rPr>
            <w:instrText xml:space="preserve"> </w:instrText>
          </w:r>
          <w:r>
            <w:instrText xml:space="preserve">PAGEREF _Toc186557620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5899190D">
          <w:pPr>
            <w:pStyle w:val="8"/>
            <w:tabs>
              <w:tab w:val="right" w:leader="dot" w:pos="9345"/>
            </w:tabs>
            <w:ind w:firstLine="440"/>
            <w:rPr>
              <w:rFonts w:hint="eastAsia" w:cstheme="minorBidi"/>
              <w:kern w:val="2"/>
              <w14:ligatures w14:val="standardContextual"/>
            </w:rPr>
          </w:pPr>
          <w:r>
            <w:fldChar w:fldCharType="begin"/>
          </w:r>
          <w:r>
            <w:instrText xml:space="preserve"> HYPERLINK \l "_Toc186557621" </w:instrText>
          </w:r>
          <w:r>
            <w:fldChar w:fldCharType="separate"/>
          </w:r>
          <w:r>
            <w:rPr>
              <w:rStyle w:val="13"/>
              <w:rFonts w:hint="eastAsia" w:ascii="Times New Roman" w:hAnsi="Times New Roman" w:eastAsia="黑体" w:cs="Times New Roman"/>
            </w:rPr>
            <w:t>2 行业概况</w:t>
          </w:r>
          <w:r>
            <w:rPr>
              <w:rFonts w:hint="eastAsia"/>
            </w:rPr>
            <w:tab/>
          </w:r>
          <w:r>
            <w:rPr>
              <w:rFonts w:hint="eastAsia"/>
            </w:rPr>
            <w:fldChar w:fldCharType="begin"/>
          </w:r>
          <w:r>
            <w:rPr>
              <w:rFonts w:hint="eastAsia"/>
            </w:rPr>
            <w:instrText xml:space="preserve"> </w:instrText>
          </w:r>
          <w:r>
            <w:instrText xml:space="preserve">PAGEREF _Toc186557621 \h</w:instrText>
          </w:r>
          <w:r>
            <w:rPr>
              <w:rFonts w:hint="eastAsia"/>
            </w:rPr>
            <w:instrText xml:space="preserve"> </w:instrText>
          </w:r>
          <w:r>
            <w:fldChar w:fldCharType="separate"/>
          </w:r>
          <w:r>
            <w:t>5</w:t>
          </w:r>
          <w:r>
            <w:rPr>
              <w:rFonts w:hint="eastAsia"/>
            </w:rPr>
            <w:fldChar w:fldCharType="end"/>
          </w:r>
          <w:r>
            <w:rPr>
              <w:rFonts w:hint="eastAsia"/>
            </w:rPr>
            <w:fldChar w:fldCharType="end"/>
          </w:r>
        </w:p>
        <w:p w14:paraId="0462F619">
          <w:pPr>
            <w:pStyle w:val="9"/>
            <w:tabs>
              <w:tab w:val="right" w:leader="dot" w:pos="9345"/>
            </w:tabs>
            <w:ind w:firstLine="440"/>
            <w:rPr>
              <w:rFonts w:hint="eastAsia" w:cstheme="minorBidi"/>
              <w:kern w:val="2"/>
              <w14:ligatures w14:val="standardContextual"/>
            </w:rPr>
          </w:pPr>
          <w:r>
            <w:fldChar w:fldCharType="begin"/>
          </w:r>
          <w:r>
            <w:instrText xml:space="preserve"> HYPERLINK \l "_Toc186557622" </w:instrText>
          </w:r>
          <w:r>
            <w:fldChar w:fldCharType="separate"/>
          </w:r>
          <w:r>
            <w:rPr>
              <w:rStyle w:val="13"/>
              <w:rFonts w:hint="eastAsia" w:ascii="Times New Roman" w:hAnsi="Times New Roman" w:eastAsia="黑体" w:cs="Times New Roman"/>
            </w:rPr>
            <w:t>2.1 淡水养殖现状</w:t>
          </w:r>
          <w:r>
            <w:rPr>
              <w:rFonts w:hint="eastAsia"/>
            </w:rPr>
            <w:tab/>
          </w:r>
          <w:r>
            <w:rPr>
              <w:rFonts w:hint="eastAsia"/>
            </w:rPr>
            <w:fldChar w:fldCharType="begin"/>
          </w:r>
          <w:r>
            <w:rPr>
              <w:rFonts w:hint="eastAsia"/>
            </w:rPr>
            <w:instrText xml:space="preserve"> </w:instrText>
          </w:r>
          <w:r>
            <w:instrText xml:space="preserve">PAGEREF _Toc186557622 \h</w:instrText>
          </w:r>
          <w:r>
            <w:rPr>
              <w:rFonts w:hint="eastAsia"/>
            </w:rPr>
            <w:instrText xml:space="preserve"> </w:instrText>
          </w:r>
          <w:r>
            <w:fldChar w:fldCharType="separate"/>
          </w:r>
          <w:r>
            <w:t>5</w:t>
          </w:r>
          <w:r>
            <w:rPr>
              <w:rFonts w:hint="eastAsia"/>
            </w:rPr>
            <w:fldChar w:fldCharType="end"/>
          </w:r>
          <w:r>
            <w:rPr>
              <w:rFonts w:hint="eastAsia"/>
            </w:rPr>
            <w:fldChar w:fldCharType="end"/>
          </w:r>
        </w:p>
        <w:p w14:paraId="6387BF8C">
          <w:pPr>
            <w:pStyle w:val="9"/>
            <w:tabs>
              <w:tab w:val="right" w:leader="dot" w:pos="9345"/>
            </w:tabs>
            <w:ind w:firstLine="440"/>
            <w:rPr>
              <w:rFonts w:hint="eastAsia" w:cstheme="minorBidi"/>
              <w:kern w:val="2"/>
              <w14:ligatures w14:val="standardContextual"/>
            </w:rPr>
          </w:pPr>
          <w:r>
            <w:fldChar w:fldCharType="begin"/>
          </w:r>
          <w:r>
            <w:instrText xml:space="preserve"> HYPERLINK \l "_Toc186557623" </w:instrText>
          </w:r>
          <w:r>
            <w:fldChar w:fldCharType="separate"/>
          </w:r>
          <w:r>
            <w:rPr>
              <w:rStyle w:val="13"/>
              <w:rFonts w:hint="eastAsia" w:ascii="Times New Roman" w:hAnsi="Times New Roman" w:eastAsia="黑体" w:cs="Times New Roman"/>
            </w:rPr>
            <w:t>2.2 行业发展趋势预测</w:t>
          </w:r>
          <w:r>
            <w:rPr>
              <w:rFonts w:hint="eastAsia"/>
            </w:rPr>
            <w:tab/>
          </w:r>
          <w:r>
            <w:rPr>
              <w:rFonts w:hint="eastAsia"/>
            </w:rPr>
            <w:fldChar w:fldCharType="begin"/>
          </w:r>
          <w:r>
            <w:rPr>
              <w:rFonts w:hint="eastAsia"/>
            </w:rPr>
            <w:instrText xml:space="preserve"> </w:instrText>
          </w:r>
          <w:r>
            <w:instrText xml:space="preserve">PAGEREF _Toc186557623 \h</w:instrText>
          </w:r>
          <w:r>
            <w:rPr>
              <w:rFonts w:hint="eastAsia"/>
            </w:rPr>
            <w:instrText xml:space="preserve"> </w:instrText>
          </w:r>
          <w:r>
            <w:fldChar w:fldCharType="separate"/>
          </w:r>
          <w:r>
            <w:t>6</w:t>
          </w:r>
          <w:r>
            <w:rPr>
              <w:rFonts w:hint="eastAsia"/>
            </w:rPr>
            <w:fldChar w:fldCharType="end"/>
          </w:r>
          <w:r>
            <w:rPr>
              <w:rFonts w:hint="eastAsia"/>
            </w:rPr>
            <w:fldChar w:fldCharType="end"/>
          </w:r>
        </w:p>
        <w:p w14:paraId="69CC4CFA">
          <w:pPr>
            <w:pStyle w:val="8"/>
            <w:tabs>
              <w:tab w:val="right" w:leader="dot" w:pos="9345"/>
            </w:tabs>
            <w:ind w:firstLine="440"/>
            <w:rPr>
              <w:rFonts w:hint="eastAsia" w:cstheme="minorBidi"/>
              <w:kern w:val="2"/>
              <w14:ligatures w14:val="standardContextual"/>
            </w:rPr>
          </w:pPr>
          <w:r>
            <w:fldChar w:fldCharType="begin"/>
          </w:r>
          <w:r>
            <w:instrText xml:space="preserve"> HYPERLINK \l "_Toc186557624" </w:instrText>
          </w:r>
          <w:r>
            <w:fldChar w:fldCharType="separate"/>
          </w:r>
          <w:r>
            <w:rPr>
              <w:rStyle w:val="13"/>
              <w:rFonts w:hint="eastAsia" w:ascii="Times New Roman" w:hAnsi="Times New Roman" w:eastAsia="黑体" w:cs="Times New Roman"/>
            </w:rPr>
            <w:t>3 标准制订的必要性分析</w:t>
          </w:r>
          <w:r>
            <w:rPr>
              <w:rFonts w:hint="eastAsia"/>
            </w:rPr>
            <w:tab/>
          </w:r>
          <w:r>
            <w:rPr>
              <w:rFonts w:hint="eastAsia"/>
            </w:rPr>
            <w:fldChar w:fldCharType="begin"/>
          </w:r>
          <w:r>
            <w:rPr>
              <w:rFonts w:hint="eastAsia"/>
            </w:rPr>
            <w:instrText xml:space="preserve"> </w:instrText>
          </w:r>
          <w:r>
            <w:instrText xml:space="preserve">PAGEREF _Toc186557624 \h</w:instrText>
          </w:r>
          <w:r>
            <w:rPr>
              <w:rFonts w:hint="eastAsia"/>
            </w:rPr>
            <w:instrText xml:space="preserve"> </w:instrText>
          </w:r>
          <w:r>
            <w:fldChar w:fldCharType="separate"/>
          </w:r>
          <w:r>
            <w:t>7</w:t>
          </w:r>
          <w:r>
            <w:rPr>
              <w:rFonts w:hint="eastAsia"/>
            </w:rPr>
            <w:fldChar w:fldCharType="end"/>
          </w:r>
          <w:r>
            <w:rPr>
              <w:rFonts w:hint="eastAsia"/>
            </w:rPr>
            <w:fldChar w:fldCharType="end"/>
          </w:r>
        </w:p>
        <w:p w14:paraId="5DB1FAF8">
          <w:pPr>
            <w:pStyle w:val="9"/>
            <w:tabs>
              <w:tab w:val="right" w:leader="dot" w:pos="9345"/>
            </w:tabs>
            <w:ind w:firstLine="440"/>
            <w:rPr>
              <w:rFonts w:hint="eastAsia" w:cstheme="minorBidi"/>
              <w:kern w:val="2"/>
              <w14:ligatures w14:val="standardContextual"/>
            </w:rPr>
          </w:pPr>
          <w:r>
            <w:fldChar w:fldCharType="begin"/>
          </w:r>
          <w:r>
            <w:instrText xml:space="preserve"> HYPERLINK \l "_Toc186557625" </w:instrText>
          </w:r>
          <w:r>
            <w:fldChar w:fldCharType="separate"/>
          </w:r>
          <w:r>
            <w:rPr>
              <w:rStyle w:val="13"/>
              <w:rFonts w:hint="eastAsia" w:ascii="Times New Roman" w:hAnsi="Times New Roman" w:eastAsia="黑体" w:cs="Times New Roman"/>
            </w:rPr>
            <w:t>3.1 国家和江苏省政府的要求</w:t>
          </w:r>
          <w:r>
            <w:rPr>
              <w:rFonts w:hint="eastAsia"/>
            </w:rPr>
            <w:tab/>
          </w:r>
          <w:r>
            <w:rPr>
              <w:rFonts w:hint="eastAsia"/>
            </w:rPr>
            <w:fldChar w:fldCharType="begin"/>
          </w:r>
          <w:r>
            <w:rPr>
              <w:rFonts w:hint="eastAsia"/>
            </w:rPr>
            <w:instrText xml:space="preserve"> </w:instrText>
          </w:r>
          <w:r>
            <w:instrText xml:space="preserve">PAGEREF _Toc186557625 \h</w:instrText>
          </w:r>
          <w:r>
            <w:rPr>
              <w:rFonts w:hint="eastAsia"/>
            </w:rPr>
            <w:instrText xml:space="preserve"> </w:instrText>
          </w:r>
          <w:r>
            <w:fldChar w:fldCharType="separate"/>
          </w:r>
          <w:r>
            <w:t>7</w:t>
          </w:r>
          <w:r>
            <w:rPr>
              <w:rFonts w:hint="eastAsia"/>
            </w:rPr>
            <w:fldChar w:fldCharType="end"/>
          </w:r>
          <w:r>
            <w:rPr>
              <w:rFonts w:hint="eastAsia"/>
            </w:rPr>
            <w:fldChar w:fldCharType="end"/>
          </w:r>
        </w:p>
        <w:p w14:paraId="0FF5E85E">
          <w:pPr>
            <w:pStyle w:val="9"/>
            <w:tabs>
              <w:tab w:val="right" w:leader="dot" w:pos="9345"/>
            </w:tabs>
            <w:ind w:firstLine="440"/>
            <w:rPr>
              <w:rFonts w:hint="eastAsia" w:cstheme="minorBidi"/>
              <w:kern w:val="2"/>
              <w14:ligatures w14:val="standardContextual"/>
            </w:rPr>
          </w:pPr>
          <w:r>
            <w:fldChar w:fldCharType="begin"/>
          </w:r>
          <w:r>
            <w:instrText xml:space="preserve"> HYPERLINK \l "_Toc186557626" </w:instrText>
          </w:r>
          <w:r>
            <w:fldChar w:fldCharType="separate"/>
          </w:r>
          <w:r>
            <w:rPr>
              <w:rStyle w:val="13"/>
              <w:rFonts w:hint="eastAsia" w:ascii="Times New Roman" w:hAnsi="Times New Roman" w:eastAsia="黑体" w:cs="Times New Roman"/>
            </w:rPr>
            <w:t>3.2 行业发展的需要</w:t>
          </w:r>
          <w:r>
            <w:rPr>
              <w:rFonts w:hint="eastAsia"/>
            </w:rPr>
            <w:tab/>
          </w:r>
          <w:r>
            <w:rPr>
              <w:rFonts w:hint="eastAsia"/>
            </w:rPr>
            <w:fldChar w:fldCharType="begin"/>
          </w:r>
          <w:r>
            <w:rPr>
              <w:rFonts w:hint="eastAsia"/>
            </w:rPr>
            <w:instrText xml:space="preserve"> </w:instrText>
          </w:r>
          <w:r>
            <w:instrText xml:space="preserve">PAGEREF _Toc186557626 \h</w:instrText>
          </w:r>
          <w:r>
            <w:rPr>
              <w:rFonts w:hint="eastAsia"/>
            </w:rPr>
            <w:instrText xml:space="preserve"> </w:instrText>
          </w:r>
          <w:r>
            <w:fldChar w:fldCharType="separate"/>
          </w:r>
          <w:r>
            <w:t>8</w:t>
          </w:r>
          <w:r>
            <w:rPr>
              <w:rFonts w:hint="eastAsia"/>
            </w:rPr>
            <w:fldChar w:fldCharType="end"/>
          </w:r>
          <w:r>
            <w:rPr>
              <w:rFonts w:hint="eastAsia"/>
            </w:rPr>
            <w:fldChar w:fldCharType="end"/>
          </w:r>
        </w:p>
        <w:p w14:paraId="67E023AE">
          <w:pPr>
            <w:pStyle w:val="8"/>
            <w:tabs>
              <w:tab w:val="right" w:leader="dot" w:pos="9345"/>
            </w:tabs>
            <w:ind w:firstLine="440"/>
            <w:rPr>
              <w:rFonts w:hint="eastAsia" w:cstheme="minorBidi"/>
              <w:kern w:val="2"/>
              <w14:ligatures w14:val="standardContextual"/>
            </w:rPr>
          </w:pPr>
          <w:r>
            <w:fldChar w:fldCharType="begin"/>
          </w:r>
          <w:r>
            <w:instrText xml:space="preserve"> HYPERLINK \l "_Toc186557627" </w:instrText>
          </w:r>
          <w:r>
            <w:fldChar w:fldCharType="separate"/>
          </w:r>
          <w:r>
            <w:rPr>
              <w:rStyle w:val="13"/>
              <w:rFonts w:hint="eastAsia" w:ascii="Times New Roman" w:hAnsi="Times New Roman" w:eastAsia="黑体" w:cs="Times New Roman"/>
            </w:rPr>
            <w:t>4 标准制订的原则</w:t>
          </w:r>
          <w:r>
            <w:rPr>
              <w:rFonts w:hint="eastAsia"/>
            </w:rPr>
            <w:tab/>
          </w:r>
          <w:r>
            <w:rPr>
              <w:rFonts w:hint="eastAsia"/>
            </w:rPr>
            <w:fldChar w:fldCharType="begin"/>
          </w:r>
          <w:r>
            <w:rPr>
              <w:rFonts w:hint="eastAsia"/>
            </w:rPr>
            <w:instrText xml:space="preserve"> </w:instrText>
          </w:r>
          <w:r>
            <w:instrText xml:space="preserve">PAGEREF _Toc186557627 \h</w:instrText>
          </w:r>
          <w:r>
            <w:rPr>
              <w:rFonts w:hint="eastAsia"/>
            </w:rPr>
            <w:instrText xml:space="preserve"> </w:instrText>
          </w:r>
          <w:r>
            <w:fldChar w:fldCharType="separate"/>
          </w:r>
          <w:r>
            <w:t>9</w:t>
          </w:r>
          <w:r>
            <w:rPr>
              <w:rFonts w:hint="eastAsia"/>
            </w:rPr>
            <w:fldChar w:fldCharType="end"/>
          </w:r>
          <w:r>
            <w:rPr>
              <w:rFonts w:hint="eastAsia"/>
            </w:rPr>
            <w:fldChar w:fldCharType="end"/>
          </w:r>
        </w:p>
        <w:p w14:paraId="1CC5B9A2">
          <w:pPr>
            <w:pStyle w:val="9"/>
            <w:tabs>
              <w:tab w:val="right" w:leader="dot" w:pos="9345"/>
            </w:tabs>
            <w:ind w:firstLine="440"/>
            <w:rPr>
              <w:rFonts w:hint="eastAsia" w:cstheme="minorBidi"/>
              <w:kern w:val="2"/>
              <w14:ligatures w14:val="standardContextual"/>
            </w:rPr>
          </w:pPr>
          <w:r>
            <w:fldChar w:fldCharType="begin"/>
          </w:r>
          <w:r>
            <w:instrText xml:space="preserve"> HYPERLINK \l "_Toc186557628" </w:instrText>
          </w:r>
          <w:r>
            <w:fldChar w:fldCharType="separate"/>
          </w:r>
          <w:r>
            <w:rPr>
              <w:rStyle w:val="13"/>
              <w:rFonts w:hint="eastAsia" w:ascii="Times New Roman" w:hAnsi="Times New Roman" w:eastAsia="黑体" w:cs="Times New Roman"/>
            </w:rPr>
            <w:t>4.1 基本原则</w:t>
          </w:r>
          <w:r>
            <w:rPr>
              <w:rFonts w:hint="eastAsia"/>
            </w:rPr>
            <w:tab/>
          </w:r>
          <w:r>
            <w:rPr>
              <w:rFonts w:hint="eastAsia"/>
            </w:rPr>
            <w:fldChar w:fldCharType="begin"/>
          </w:r>
          <w:r>
            <w:rPr>
              <w:rFonts w:hint="eastAsia"/>
            </w:rPr>
            <w:instrText xml:space="preserve"> </w:instrText>
          </w:r>
          <w:r>
            <w:instrText xml:space="preserve">PAGEREF _Toc186557628 \h</w:instrText>
          </w:r>
          <w:r>
            <w:rPr>
              <w:rFonts w:hint="eastAsia"/>
            </w:rPr>
            <w:instrText xml:space="preserve"> </w:instrText>
          </w:r>
          <w:r>
            <w:fldChar w:fldCharType="separate"/>
          </w:r>
          <w:r>
            <w:t>9</w:t>
          </w:r>
          <w:r>
            <w:rPr>
              <w:rFonts w:hint="eastAsia"/>
            </w:rPr>
            <w:fldChar w:fldCharType="end"/>
          </w:r>
          <w:r>
            <w:rPr>
              <w:rFonts w:hint="eastAsia"/>
            </w:rPr>
            <w:fldChar w:fldCharType="end"/>
          </w:r>
        </w:p>
        <w:p w14:paraId="686F3326">
          <w:pPr>
            <w:pStyle w:val="9"/>
            <w:tabs>
              <w:tab w:val="right" w:leader="dot" w:pos="9345"/>
            </w:tabs>
            <w:ind w:firstLine="440"/>
            <w:rPr>
              <w:rFonts w:hint="eastAsia" w:cstheme="minorBidi"/>
              <w:kern w:val="2"/>
              <w14:ligatures w14:val="standardContextual"/>
            </w:rPr>
          </w:pPr>
          <w:r>
            <w:fldChar w:fldCharType="begin"/>
          </w:r>
          <w:r>
            <w:instrText xml:space="preserve"> HYPERLINK \l "_Toc186557629" </w:instrText>
          </w:r>
          <w:r>
            <w:fldChar w:fldCharType="separate"/>
          </w:r>
          <w:r>
            <w:rPr>
              <w:rStyle w:val="13"/>
              <w:rFonts w:hint="eastAsia" w:ascii="Times New Roman" w:hAnsi="Times New Roman" w:eastAsia="黑体" w:cs="Times New Roman"/>
            </w:rPr>
            <w:t>4.2编制依据</w:t>
          </w:r>
          <w:r>
            <w:rPr>
              <w:rFonts w:hint="eastAsia"/>
            </w:rPr>
            <w:tab/>
          </w:r>
          <w:r>
            <w:rPr>
              <w:rFonts w:hint="eastAsia"/>
            </w:rPr>
            <w:fldChar w:fldCharType="begin"/>
          </w:r>
          <w:r>
            <w:rPr>
              <w:rFonts w:hint="eastAsia"/>
            </w:rPr>
            <w:instrText xml:space="preserve"> </w:instrText>
          </w:r>
          <w:r>
            <w:instrText xml:space="preserve">PAGEREF _Toc186557629 \h</w:instrText>
          </w:r>
          <w:r>
            <w:rPr>
              <w:rFonts w:hint="eastAsia"/>
            </w:rPr>
            <w:instrText xml:space="preserve"> </w:instrText>
          </w:r>
          <w:r>
            <w:fldChar w:fldCharType="separate"/>
          </w:r>
          <w:r>
            <w:t>10</w:t>
          </w:r>
          <w:r>
            <w:rPr>
              <w:rFonts w:hint="eastAsia"/>
            </w:rPr>
            <w:fldChar w:fldCharType="end"/>
          </w:r>
          <w:r>
            <w:rPr>
              <w:rFonts w:hint="eastAsia"/>
            </w:rPr>
            <w:fldChar w:fldCharType="end"/>
          </w:r>
        </w:p>
        <w:p w14:paraId="0D0A1498">
          <w:pPr>
            <w:pStyle w:val="8"/>
            <w:tabs>
              <w:tab w:val="right" w:leader="dot" w:pos="9345"/>
            </w:tabs>
            <w:ind w:firstLine="440"/>
            <w:rPr>
              <w:rFonts w:hint="eastAsia" w:cstheme="minorBidi"/>
              <w:kern w:val="2"/>
              <w14:ligatures w14:val="standardContextual"/>
            </w:rPr>
          </w:pPr>
          <w:r>
            <w:fldChar w:fldCharType="begin"/>
          </w:r>
          <w:r>
            <w:instrText xml:space="preserve"> HYPERLINK \l "_Toc186557630" </w:instrText>
          </w:r>
          <w:r>
            <w:fldChar w:fldCharType="separate"/>
          </w:r>
          <w:r>
            <w:rPr>
              <w:rStyle w:val="13"/>
              <w:rFonts w:hint="eastAsia" w:ascii="Times New Roman" w:hAnsi="Times New Roman" w:eastAsia="黑体" w:cs="Times New Roman"/>
            </w:rPr>
            <w:t>5 标准的主要内容</w:t>
          </w:r>
          <w:r>
            <w:rPr>
              <w:rFonts w:hint="eastAsia"/>
            </w:rPr>
            <w:tab/>
          </w:r>
          <w:r>
            <w:rPr>
              <w:rFonts w:hint="eastAsia"/>
            </w:rPr>
            <w:fldChar w:fldCharType="begin"/>
          </w:r>
          <w:r>
            <w:rPr>
              <w:rFonts w:hint="eastAsia"/>
            </w:rPr>
            <w:instrText xml:space="preserve"> </w:instrText>
          </w:r>
          <w:r>
            <w:instrText xml:space="preserve">PAGEREF _Toc186557630 \h</w:instrText>
          </w:r>
          <w:r>
            <w:rPr>
              <w:rFonts w:hint="eastAsia"/>
            </w:rPr>
            <w:instrText xml:space="preserve"> </w:instrText>
          </w:r>
          <w:r>
            <w:fldChar w:fldCharType="separate"/>
          </w:r>
          <w:r>
            <w:t>10</w:t>
          </w:r>
          <w:r>
            <w:rPr>
              <w:rFonts w:hint="eastAsia"/>
            </w:rPr>
            <w:fldChar w:fldCharType="end"/>
          </w:r>
          <w:r>
            <w:rPr>
              <w:rFonts w:hint="eastAsia"/>
            </w:rPr>
            <w:fldChar w:fldCharType="end"/>
          </w:r>
        </w:p>
        <w:p w14:paraId="56C4D240">
          <w:pPr>
            <w:pStyle w:val="9"/>
            <w:tabs>
              <w:tab w:val="right" w:leader="dot" w:pos="9345"/>
            </w:tabs>
            <w:ind w:firstLine="440"/>
            <w:rPr>
              <w:rFonts w:hint="eastAsia" w:cstheme="minorBidi"/>
              <w:kern w:val="2"/>
              <w14:ligatures w14:val="standardContextual"/>
            </w:rPr>
          </w:pPr>
          <w:r>
            <w:fldChar w:fldCharType="begin"/>
          </w:r>
          <w:r>
            <w:instrText xml:space="preserve"> HYPERLINK \l "_Toc186557631" </w:instrText>
          </w:r>
          <w:r>
            <w:fldChar w:fldCharType="separate"/>
          </w:r>
          <w:r>
            <w:rPr>
              <w:rStyle w:val="13"/>
              <w:rFonts w:hint="eastAsia" w:ascii="Times New Roman" w:hAnsi="Times New Roman" w:eastAsia="黑体" w:cs="Times New Roman"/>
            </w:rPr>
            <w:t>5.1 适用范围</w:t>
          </w:r>
          <w:r>
            <w:rPr>
              <w:rFonts w:hint="eastAsia"/>
            </w:rPr>
            <w:tab/>
          </w:r>
          <w:r>
            <w:rPr>
              <w:rFonts w:hint="eastAsia"/>
            </w:rPr>
            <w:fldChar w:fldCharType="begin"/>
          </w:r>
          <w:r>
            <w:rPr>
              <w:rFonts w:hint="eastAsia"/>
            </w:rPr>
            <w:instrText xml:space="preserve"> </w:instrText>
          </w:r>
          <w:r>
            <w:instrText xml:space="preserve">PAGEREF _Toc186557631 \h</w:instrText>
          </w:r>
          <w:r>
            <w:rPr>
              <w:rFonts w:hint="eastAsia"/>
            </w:rPr>
            <w:instrText xml:space="preserve"> </w:instrText>
          </w:r>
          <w:r>
            <w:fldChar w:fldCharType="separate"/>
          </w:r>
          <w:r>
            <w:t>10</w:t>
          </w:r>
          <w:r>
            <w:rPr>
              <w:rFonts w:hint="eastAsia"/>
            </w:rPr>
            <w:fldChar w:fldCharType="end"/>
          </w:r>
          <w:r>
            <w:rPr>
              <w:rFonts w:hint="eastAsia"/>
            </w:rPr>
            <w:fldChar w:fldCharType="end"/>
          </w:r>
        </w:p>
        <w:p w14:paraId="57C2C295">
          <w:pPr>
            <w:pStyle w:val="9"/>
            <w:tabs>
              <w:tab w:val="right" w:leader="dot" w:pos="9345"/>
            </w:tabs>
            <w:ind w:firstLine="440"/>
            <w:rPr>
              <w:rFonts w:hint="eastAsia" w:cstheme="minorBidi"/>
              <w:kern w:val="2"/>
              <w14:ligatures w14:val="standardContextual"/>
            </w:rPr>
          </w:pPr>
          <w:r>
            <w:fldChar w:fldCharType="begin"/>
          </w:r>
          <w:r>
            <w:instrText xml:space="preserve"> HYPERLINK \l "_Toc186557632" </w:instrText>
          </w:r>
          <w:r>
            <w:fldChar w:fldCharType="separate"/>
          </w:r>
          <w:r>
            <w:rPr>
              <w:rStyle w:val="13"/>
              <w:rFonts w:hint="eastAsia" w:ascii="Times New Roman" w:hAnsi="Times New Roman" w:eastAsia="黑体" w:cs="Times New Roman"/>
            </w:rPr>
            <w:t>5.2 主要内容</w:t>
          </w:r>
          <w:r>
            <w:rPr>
              <w:rFonts w:hint="eastAsia"/>
            </w:rPr>
            <w:tab/>
          </w:r>
          <w:r>
            <w:rPr>
              <w:rFonts w:hint="eastAsia"/>
            </w:rPr>
            <w:fldChar w:fldCharType="begin"/>
          </w:r>
          <w:r>
            <w:rPr>
              <w:rFonts w:hint="eastAsia"/>
            </w:rPr>
            <w:instrText xml:space="preserve"> </w:instrText>
          </w:r>
          <w:r>
            <w:instrText xml:space="preserve">PAGEREF _Toc186557632 \h</w:instrText>
          </w:r>
          <w:r>
            <w:rPr>
              <w:rFonts w:hint="eastAsia"/>
            </w:rPr>
            <w:instrText xml:space="preserve"> </w:instrText>
          </w:r>
          <w:r>
            <w:fldChar w:fldCharType="separate"/>
          </w:r>
          <w:r>
            <w:t>11</w:t>
          </w:r>
          <w:r>
            <w:rPr>
              <w:rFonts w:hint="eastAsia"/>
            </w:rPr>
            <w:fldChar w:fldCharType="end"/>
          </w:r>
          <w:r>
            <w:rPr>
              <w:rFonts w:hint="eastAsia"/>
            </w:rPr>
            <w:fldChar w:fldCharType="end"/>
          </w:r>
        </w:p>
        <w:p w14:paraId="65AFA618">
          <w:pPr>
            <w:pStyle w:val="9"/>
            <w:tabs>
              <w:tab w:val="right" w:leader="dot" w:pos="9345"/>
            </w:tabs>
            <w:ind w:firstLine="440"/>
            <w:rPr>
              <w:rFonts w:hint="eastAsia" w:cstheme="minorBidi"/>
              <w:kern w:val="2"/>
              <w14:ligatures w14:val="standardContextual"/>
            </w:rPr>
          </w:pPr>
          <w:r>
            <w:fldChar w:fldCharType="begin"/>
          </w:r>
          <w:r>
            <w:instrText xml:space="preserve"> HYPERLINK \l "_Toc186557633" </w:instrText>
          </w:r>
          <w:r>
            <w:fldChar w:fldCharType="separate"/>
          </w:r>
          <w:r>
            <w:rPr>
              <w:rStyle w:val="13"/>
              <w:rFonts w:hint="eastAsia" w:ascii="Times New Roman" w:hAnsi="Times New Roman" w:eastAsia="黑体" w:cs="Times New Roman"/>
            </w:rPr>
            <w:t>5.3 淡水养殖池塘管理措施</w:t>
          </w:r>
          <w:r>
            <w:rPr>
              <w:rFonts w:hint="eastAsia"/>
            </w:rPr>
            <w:tab/>
          </w:r>
          <w:r>
            <w:rPr>
              <w:rFonts w:hint="eastAsia"/>
            </w:rPr>
            <w:fldChar w:fldCharType="begin"/>
          </w:r>
          <w:r>
            <w:rPr>
              <w:rFonts w:hint="eastAsia"/>
            </w:rPr>
            <w:instrText xml:space="preserve"> </w:instrText>
          </w:r>
          <w:r>
            <w:instrText xml:space="preserve">PAGEREF _Toc186557633 \h</w:instrText>
          </w:r>
          <w:r>
            <w:rPr>
              <w:rFonts w:hint="eastAsia"/>
            </w:rPr>
            <w:instrText xml:space="preserve"> </w:instrText>
          </w:r>
          <w:r>
            <w:fldChar w:fldCharType="separate"/>
          </w:r>
          <w:r>
            <w:t>11</w:t>
          </w:r>
          <w:r>
            <w:rPr>
              <w:rFonts w:hint="eastAsia"/>
            </w:rPr>
            <w:fldChar w:fldCharType="end"/>
          </w:r>
          <w:r>
            <w:rPr>
              <w:rFonts w:hint="eastAsia"/>
            </w:rPr>
            <w:fldChar w:fldCharType="end"/>
          </w:r>
        </w:p>
        <w:p w14:paraId="1E83CA00">
          <w:pPr>
            <w:pStyle w:val="8"/>
            <w:tabs>
              <w:tab w:val="right" w:leader="dot" w:pos="9345"/>
            </w:tabs>
            <w:ind w:firstLine="440"/>
            <w:rPr>
              <w:rFonts w:hint="eastAsia" w:cstheme="minorBidi"/>
              <w:kern w:val="2"/>
              <w14:ligatures w14:val="standardContextual"/>
            </w:rPr>
          </w:pPr>
          <w:r>
            <w:fldChar w:fldCharType="begin"/>
          </w:r>
          <w:r>
            <w:instrText xml:space="preserve"> HYPERLINK \l "_Toc186557634" </w:instrText>
          </w:r>
          <w:r>
            <w:fldChar w:fldCharType="separate"/>
          </w:r>
          <w:r>
            <w:rPr>
              <w:rStyle w:val="13"/>
              <w:rFonts w:hint="eastAsia" w:ascii="Times New Roman" w:hAnsi="Times New Roman" w:eastAsia="黑体" w:cs="Times New Roman"/>
            </w:rPr>
            <w:t>6 国内相关标准规范</w:t>
          </w:r>
          <w:r>
            <w:rPr>
              <w:rFonts w:hint="eastAsia"/>
            </w:rPr>
            <w:tab/>
          </w:r>
          <w:r>
            <w:rPr>
              <w:rFonts w:hint="eastAsia"/>
            </w:rPr>
            <w:fldChar w:fldCharType="begin"/>
          </w:r>
          <w:r>
            <w:rPr>
              <w:rFonts w:hint="eastAsia"/>
            </w:rPr>
            <w:instrText xml:space="preserve"> </w:instrText>
          </w:r>
          <w:r>
            <w:instrText xml:space="preserve">PAGEREF _Toc186557634 \h</w:instrText>
          </w:r>
          <w:r>
            <w:rPr>
              <w:rFonts w:hint="eastAsia"/>
            </w:rPr>
            <w:instrText xml:space="preserve"> </w:instrText>
          </w:r>
          <w:r>
            <w:fldChar w:fldCharType="separate"/>
          </w:r>
          <w:r>
            <w:t>11</w:t>
          </w:r>
          <w:r>
            <w:rPr>
              <w:rFonts w:hint="eastAsia"/>
            </w:rPr>
            <w:fldChar w:fldCharType="end"/>
          </w:r>
          <w:r>
            <w:rPr>
              <w:rFonts w:hint="eastAsia"/>
            </w:rPr>
            <w:fldChar w:fldCharType="end"/>
          </w:r>
        </w:p>
        <w:p w14:paraId="40E92F54">
          <w:pPr>
            <w:pStyle w:val="8"/>
            <w:tabs>
              <w:tab w:val="right" w:leader="dot" w:pos="9345"/>
            </w:tabs>
            <w:ind w:firstLine="440"/>
            <w:rPr>
              <w:rFonts w:hint="eastAsia" w:cstheme="minorBidi"/>
              <w:kern w:val="2"/>
              <w14:ligatures w14:val="standardContextual"/>
            </w:rPr>
          </w:pPr>
          <w:r>
            <w:fldChar w:fldCharType="begin"/>
          </w:r>
          <w:r>
            <w:instrText xml:space="preserve"> HYPERLINK \l "_Toc186557635" </w:instrText>
          </w:r>
          <w:r>
            <w:fldChar w:fldCharType="separate"/>
          </w:r>
          <w:r>
            <w:rPr>
              <w:rStyle w:val="13"/>
              <w:rFonts w:hint="eastAsia" w:ascii="Times New Roman" w:hAnsi="Times New Roman" w:eastAsia="黑体" w:cs="Times New Roman"/>
            </w:rPr>
            <w:t>7 标准实施效益分析</w:t>
          </w:r>
          <w:r>
            <w:rPr>
              <w:rFonts w:hint="eastAsia"/>
            </w:rPr>
            <w:tab/>
          </w:r>
          <w:r>
            <w:rPr>
              <w:rFonts w:hint="eastAsia"/>
            </w:rPr>
            <w:fldChar w:fldCharType="begin"/>
          </w:r>
          <w:r>
            <w:rPr>
              <w:rFonts w:hint="eastAsia"/>
            </w:rPr>
            <w:instrText xml:space="preserve"> </w:instrText>
          </w:r>
          <w:r>
            <w:instrText xml:space="preserve">PAGEREF _Toc186557635 \h</w:instrText>
          </w:r>
          <w:r>
            <w:rPr>
              <w:rFonts w:hint="eastAsia"/>
            </w:rPr>
            <w:instrText xml:space="preserve"> </w:instrText>
          </w:r>
          <w:r>
            <w:fldChar w:fldCharType="separate"/>
          </w:r>
          <w:r>
            <w:t>12</w:t>
          </w:r>
          <w:r>
            <w:rPr>
              <w:rFonts w:hint="eastAsia"/>
            </w:rPr>
            <w:fldChar w:fldCharType="end"/>
          </w:r>
          <w:r>
            <w:rPr>
              <w:rFonts w:hint="eastAsia"/>
            </w:rPr>
            <w:fldChar w:fldCharType="end"/>
          </w:r>
        </w:p>
        <w:p w14:paraId="4CC96E60">
          <w:pPr>
            <w:pStyle w:val="9"/>
            <w:tabs>
              <w:tab w:val="right" w:leader="dot" w:pos="9345"/>
            </w:tabs>
            <w:ind w:firstLine="440"/>
            <w:rPr>
              <w:rFonts w:hint="eastAsia" w:cstheme="minorBidi"/>
              <w:kern w:val="2"/>
              <w14:ligatures w14:val="standardContextual"/>
            </w:rPr>
          </w:pPr>
          <w:r>
            <w:fldChar w:fldCharType="begin"/>
          </w:r>
          <w:r>
            <w:instrText xml:space="preserve"> HYPERLINK \l "_Toc186557636" </w:instrText>
          </w:r>
          <w:r>
            <w:fldChar w:fldCharType="separate"/>
          </w:r>
          <w:r>
            <w:rPr>
              <w:rStyle w:val="13"/>
              <w:rFonts w:hint="eastAsia" w:ascii="Times New Roman" w:hAnsi="Times New Roman" w:eastAsia="黑体" w:cs="Times New Roman"/>
            </w:rPr>
            <w:t>7.1 生态效益</w:t>
          </w:r>
          <w:r>
            <w:rPr>
              <w:rFonts w:hint="eastAsia"/>
            </w:rPr>
            <w:tab/>
          </w:r>
          <w:r>
            <w:rPr>
              <w:rFonts w:hint="eastAsia"/>
            </w:rPr>
            <w:fldChar w:fldCharType="begin"/>
          </w:r>
          <w:r>
            <w:rPr>
              <w:rFonts w:hint="eastAsia"/>
            </w:rPr>
            <w:instrText xml:space="preserve"> </w:instrText>
          </w:r>
          <w:r>
            <w:instrText xml:space="preserve">PAGEREF _Toc186557636 \h</w:instrText>
          </w:r>
          <w:r>
            <w:rPr>
              <w:rFonts w:hint="eastAsia"/>
            </w:rPr>
            <w:instrText xml:space="preserve"> </w:instrText>
          </w:r>
          <w:r>
            <w:fldChar w:fldCharType="separate"/>
          </w:r>
          <w:r>
            <w:t>12</w:t>
          </w:r>
          <w:r>
            <w:rPr>
              <w:rFonts w:hint="eastAsia"/>
            </w:rPr>
            <w:fldChar w:fldCharType="end"/>
          </w:r>
          <w:r>
            <w:rPr>
              <w:rFonts w:hint="eastAsia"/>
            </w:rPr>
            <w:fldChar w:fldCharType="end"/>
          </w:r>
        </w:p>
        <w:p w14:paraId="669C2FF1">
          <w:pPr>
            <w:pStyle w:val="9"/>
            <w:tabs>
              <w:tab w:val="right" w:leader="dot" w:pos="9345"/>
            </w:tabs>
            <w:ind w:firstLine="440"/>
            <w:rPr>
              <w:rFonts w:hint="eastAsia" w:cstheme="minorBidi"/>
              <w:kern w:val="2"/>
              <w14:ligatures w14:val="standardContextual"/>
            </w:rPr>
          </w:pPr>
          <w:r>
            <w:fldChar w:fldCharType="begin"/>
          </w:r>
          <w:r>
            <w:instrText xml:space="preserve"> HYPERLINK \l "_Toc186557637" </w:instrText>
          </w:r>
          <w:r>
            <w:fldChar w:fldCharType="separate"/>
          </w:r>
          <w:r>
            <w:rPr>
              <w:rStyle w:val="13"/>
              <w:rFonts w:hint="eastAsia" w:ascii="Times New Roman" w:hAnsi="Times New Roman" w:eastAsia="黑体" w:cs="Times New Roman"/>
            </w:rPr>
            <w:t>7.2 经济效益</w:t>
          </w:r>
          <w:r>
            <w:rPr>
              <w:rFonts w:hint="eastAsia"/>
            </w:rPr>
            <w:tab/>
          </w:r>
          <w:r>
            <w:rPr>
              <w:rFonts w:hint="eastAsia"/>
            </w:rPr>
            <w:fldChar w:fldCharType="begin"/>
          </w:r>
          <w:r>
            <w:rPr>
              <w:rFonts w:hint="eastAsia"/>
            </w:rPr>
            <w:instrText xml:space="preserve"> </w:instrText>
          </w:r>
          <w:r>
            <w:instrText xml:space="preserve">PAGEREF _Toc186557637 \h</w:instrText>
          </w:r>
          <w:r>
            <w:rPr>
              <w:rFonts w:hint="eastAsia"/>
            </w:rPr>
            <w:instrText xml:space="preserve"> </w:instrText>
          </w:r>
          <w:r>
            <w:fldChar w:fldCharType="separate"/>
          </w:r>
          <w:r>
            <w:t>12</w:t>
          </w:r>
          <w:r>
            <w:rPr>
              <w:rFonts w:hint="eastAsia"/>
            </w:rPr>
            <w:fldChar w:fldCharType="end"/>
          </w:r>
          <w:r>
            <w:rPr>
              <w:rFonts w:hint="eastAsia"/>
            </w:rPr>
            <w:fldChar w:fldCharType="end"/>
          </w:r>
        </w:p>
        <w:p w14:paraId="10E80CF1">
          <w:pPr>
            <w:pStyle w:val="9"/>
            <w:tabs>
              <w:tab w:val="right" w:leader="dot" w:pos="9345"/>
            </w:tabs>
            <w:ind w:firstLine="440"/>
            <w:rPr>
              <w:rFonts w:hint="eastAsia" w:cstheme="minorBidi"/>
              <w:kern w:val="2"/>
              <w14:ligatures w14:val="standardContextual"/>
            </w:rPr>
          </w:pPr>
          <w:r>
            <w:fldChar w:fldCharType="begin"/>
          </w:r>
          <w:r>
            <w:instrText xml:space="preserve"> HYPERLINK \l "_Toc186557638" </w:instrText>
          </w:r>
          <w:r>
            <w:fldChar w:fldCharType="separate"/>
          </w:r>
          <w:r>
            <w:rPr>
              <w:rStyle w:val="13"/>
              <w:rFonts w:hint="eastAsia" w:ascii="Times New Roman" w:hAnsi="Times New Roman" w:eastAsia="黑体" w:cs="Times New Roman"/>
            </w:rPr>
            <w:t>7.3 社会效益</w:t>
          </w:r>
          <w:r>
            <w:rPr>
              <w:rFonts w:hint="eastAsia"/>
            </w:rPr>
            <w:tab/>
          </w:r>
          <w:r>
            <w:rPr>
              <w:rFonts w:hint="eastAsia"/>
            </w:rPr>
            <w:fldChar w:fldCharType="begin"/>
          </w:r>
          <w:r>
            <w:rPr>
              <w:rFonts w:hint="eastAsia"/>
            </w:rPr>
            <w:instrText xml:space="preserve"> </w:instrText>
          </w:r>
          <w:r>
            <w:instrText xml:space="preserve">PAGEREF _Toc186557638 \h</w:instrText>
          </w:r>
          <w:r>
            <w:rPr>
              <w:rFonts w:hint="eastAsia"/>
            </w:rPr>
            <w:instrText xml:space="preserve"> </w:instrText>
          </w:r>
          <w:r>
            <w:fldChar w:fldCharType="separate"/>
          </w:r>
          <w:r>
            <w:t>13</w:t>
          </w:r>
          <w:r>
            <w:rPr>
              <w:rFonts w:hint="eastAsia"/>
            </w:rPr>
            <w:fldChar w:fldCharType="end"/>
          </w:r>
          <w:r>
            <w:rPr>
              <w:rFonts w:hint="eastAsia"/>
            </w:rPr>
            <w:fldChar w:fldCharType="end"/>
          </w:r>
        </w:p>
        <w:p w14:paraId="31452B9B">
          <w:pPr>
            <w:pStyle w:val="8"/>
            <w:tabs>
              <w:tab w:val="right" w:leader="dot" w:pos="9345"/>
            </w:tabs>
            <w:ind w:firstLine="440"/>
            <w:rPr>
              <w:rFonts w:hint="eastAsia" w:cstheme="minorBidi"/>
              <w:kern w:val="2"/>
              <w14:ligatures w14:val="standardContextual"/>
            </w:rPr>
          </w:pPr>
          <w:r>
            <w:fldChar w:fldCharType="begin"/>
          </w:r>
          <w:r>
            <w:instrText xml:space="preserve"> HYPERLINK \l "_Toc186557639" </w:instrText>
          </w:r>
          <w:r>
            <w:fldChar w:fldCharType="separate"/>
          </w:r>
          <w:r>
            <w:rPr>
              <w:rStyle w:val="13"/>
              <w:rFonts w:hint="eastAsia" w:ascii="Times New Roman" w:hAnsi="Times New Roman" w:eastAsia="黑体" w:cs="Times New Roman"/>
            </w:rPr>
            <w:t>8 标准实施建议</w:t>
          </w:r>
          <w:r>
            <w:rPr>
              <w:rFonts w:hint="eastAsia"/>
            </w:rPr>
            <w:tab/>
          </w:r>
          <w:r>
            <w:rPr>
              <w:rFonts w:hint="eastAsia"/>
            </w:rPr>
            <w:fldChar w:fldCharType="begin"/>
          </w:r>
          <w:r>
            <w:rPr>
              <w:rFonts w:hint="eastAsia"/>
            </w:rPr>
            <w:instrText xml:space="preserve"> </w:instrText>
          </w:r>
          <w:r>
            <w:instrText xml:space="preserve">PAGEREF _Toc186557639 \h</w:instrText>
          </w:r>
          <w:r>
            <w:rPr>
              <w:rFonts w:hint="eastAsia"/>
            </w:rPr>
            <w:instrText xml:space="preserve"> </w:instrText>
          </w:r>
          <w:r>
            <w:fldChar w:fldCharType="separate"/>
          </w:r>
          <w:r>
            <w:t>13</w:t>
          </w:r>
          <w:r>
            <w:rPr>
              <w:rFonts w:hint="eastAsia"/>
            </w:rPr>
            <w:fldChar w:fldCharType="end"/>
          </w:r>
          <w:r>
            <w:rPr>
              <w:rFonts w:hint="eastAsia"/>
            </w:rPr>
            <w:fldChar w:fldCharType="end"/>
          </w:r>
        </w:p>
        <w:p w14:paraId="11E1F699">
          <w:pPr>
            <w:widowControl/>
            <w:ind w:firstLine="482"/>
            <w:jc w:val="left"/>
            <w:rPr>
              <w:rFonts w:ascii="Times New Roman" w:hAnsi="Times New Roman" w:cs="Times New Roman"/>
              <w:b/>
              <w:bCs/>
              <w:kern w:val="2"/>
              <w:sz w:val="21"/>
              <w:szCs w:val="22"/>
              <w:lang w:val="zh-CN"/>
            </w:rPr>
          </w:pPr>
          <w:r>
            <w:rPr>
              <w:rFonts w:ascii="Times New Roman" w:hAnsi="Times New Roman" w:cs="Times New Roman"/>
              <w:b/>
              <w:bCs/>
              <w:lang w:val="zh-CN"/>
            </w:rPr>
            <w:fldChar w:fldCharType="end"/>
          </w:r>
        </w:p>
      </w:sdtContent>
    </w:sdt>
    <w:p w14:paraId="0B17C122">
      <w:pPr>
        <w:widowControl/>
        <w:shd w:val="clear" w:color="auto" w:fill="auto"/>
        <w:autoSpaceDE/>
        <w:autoSpaceDN/>
        <w:spacing w:line="240" w:lineRule="auto"/>
        <w:ind w:firstLine="0" w:firstLineChars="0"/>
        <w:jc w:val="left"/>
        <w:rPr>
          <w:rFonts w:ascii="Times New Roman" w:hAnsi="Times New Roman" w:cs="Times New Roman"/>
          <w:b/>
          <w:bCs/>
          <w:kern w:val="2"/>
          <w:sz w:val="21"/>
          <w:szCs w:val="22"/>
          <w:lang w:val="zh-CN"/>
        </w:rPr>
      </w:pPr>
      <w:bookmarkStart w:id="1" w:name="_Toc186557616"/>
      <w:r>
        <w:rPr>
          <w:rFonts w:ascii="Times New Roman" w:hAnsi="Times New Roman" w:eastAsia="黑体" w:cs="Times New Roman"/>
          <w:b/>
          <w:bCs/>
          <w:sz w:val="28"/>
          <w:szCs w:val="28"/>
        </w:rPr>
        <w:br w:type="page"/>
      </w:r>
    </w:p>
    <w:p w14:paraId="24BDF7B7">
      <w:pPr>
        <w:pStyle w:val="18"/>
        <w:spacing w:line="360" w:lineRule="auto"/>
        <w:rPr>
          <w:rFonts w:ascii="Times New Roman" w:hAnsi="Times New Roman" w:eastAsia="黑体" w:cs="Times New Roman"/>
          <w:b w:val="0"/>
          <w:bCs w:val="0"/>
          <w:sz w:val="28"/>
          <w:szCs w:val="28"/>
        </w:rPr>
      </w:pPr>
      <w:r>
        <w:rPr>
          <w:rFonts w:hint="eastAsia" w:ascii="Times New Roman" w:hAnsi="Times New Roman" w:eastAsia="黑体" w:cs="Times New Roman"/>
          <w:b w:val="0"/>
          <w:bCs w:val="0"/>
          <w:sz w:val="28"/>
          <w:szCs w:val="28"/>
        </w:rPr>
        <w:t xml:space="preserve">1 </w:t>
      </w:r>
      <w:r>
        <w:rPr>
          <w:rFonts w:ascii="Times New Roman" w:hAnsi="Times New Roman" w:eastAsia="黑体" w:cs="Times New Roman"/>
          <w:b w:val="0"/>
          <w:bCs w:val="0"/>
          <w:sz w:val="28"/>
          <w:szCs w:val="28"/>
        </w:rPr>
        <w:t>工作简况</w:t>
      </w:r>
      <w:bookmarkEnd w:id="1"/>
    </w:p>
    <w:p w14:paraId="26D500CC">
      <w:pPr>
        <w:pStyle w:val="23"/>
        <w:spacing w:line="360" w:lineRule="auto"/>
        <w:rPr>
          <w:rFonts w:ascii="Times New Roman" w:hAnsi="Times New Roman" w:eastAsia="黑体" w:cs="Times New Roman"/>
          <w:b w:val="0"/>
          <w:bCs w:val="0"/>
          <w:szCs w:val="28"/>
        </w:rPr>
      </w:pPr>
      <w:bookmarkStart w:id="2" w:name="_Toc186557617"/>
      <w:r>
        <w:rPr>
          <w:rFonts w:ascii="Times New Roman" w:hAnsi="Times New Roman" w:eastAsia="黑体" w:cs="Times New Roman"/>
          <w:b w:val="0"/>
          <w:bCs w:val="0"/>
          <w:szCs w:val="28"/>
        </w:rPr>
        <w:t>1.1 任务来源</w:t>
      </w:r>
      <w:bookmarkEnd w:id="2"/>
    </w:p>
    <w:p w14:paraId="548C595E">
      <w:pPr>
        <w:ind w:firstLine="560"/>
        <w:rPr>
          <w:rFonts w:ascii="Times New Roman" w:hAnsi="Times New Roman" w:cs="Times New Roman"/>
          <w:sz w:val="28"/>
          <w:szCs w:val="28"/>
        </w:rPr>
      </w:pPr>
      <w:r>
        <w:rPr>
          <w:rFonts w:ascii="Times New Roman" w:hAnsi="Times New Roman" w:cs="Times New Roman"/>
          <w:sz w:val="28"/>
          <w:szCs w:val="28"/>
        </w:rPr>
        <w:t>2024年2月28日，江苏省渔业协会发布《关于征集2024年江苏省渔业协会团体标准立项项目的通知》（苏渔协[2024]2号），征集2024年团体标准立项项目，要求立项范围应立足渔业行业的实际需求，围绕渔业相关的技术、产品、应用、服务等方面，聚焦新产品、新技术、新业态和新模式，填补标准空白。中农国科（南京）规划设计有限公司、南京万瑞环境科技有限公司响应江苏省渔业协会通知，为进一步健全江苏省渔业行业标准体系，提出制定《淡水池塘标准化建设改造技术规范》。</w:t>
      </w:r>
    </w:p>
    <w:p w14:paraId="274D3B06">
      <w:pPr>
        <w:pStyle w:val="23"/>
        <w:spacing w:line="360" w:lineRule="auto"/>
        <w:rPr>
          <w:rFonts w:ascii="Times New Roman" w:hAnsi="Times New Roman" w:eastAsia="黑体" w:cs="Times New Roman"/>
          <w:b w:val="0"/>
          <w:bCs w:val="0"/>
          <w:szCs w:val="28"/>
        </w:rPr>
      </w:pPr>
      <w:bookmarkStart w:id="3" w:name="_Toc186557618"/>
      <w:r>
        <w:rPr>
          <w:rFonts w:ascii="Times New Roman" w:hAnsi="Times New Roman" w:eastAsia="黑体" w:cs="Times New Roman"/>
          <w:b w:val="0"/>
          <w:bCs w:val="0"/>
          <w:szCs w:val="28"/>
        </w:rPr>
        <w:t>1.2 起草单位</w:t>
      </w:r>
      <w:bookmarkEnd w:id="3"/>
    </w:p>
    <w:p w14:paraId="58DE20C8">
      <w:pPr>
        <w:ind w:firstLine="560"/>
        <w:rPr>
          <w:rFonts w:ascii="Times New Roman" w:hAnsi="Times New Roman" w:cs="Times New Roman"/>
          <w:sz w:val="28"/>
          <w:szCs w:val="28"/>
        </w:rPr>
      </w:pPr>
      <w:r>
        <w:rPr>
          <w:rFonts w:ascii="Times New Roman" w:hAnsi="Times New Roman" w:cs="Times New Roman"/>
          <w:sz w:val="28"/>
          <w:szCs w:val="28"/>
        </w:rPr>
        <w:t>由中农国科（南京）规划设计有限公司和南京万瑞环境科技有限公司共同起草。</w:t>
      </w:r>
    </w:p>
    <w:p w14:paraId="5C9C7D0F">
      <w:pPr>
        <w:ind w:firstLine="560"/>
        <w:rPr>
          <w:rFonts w:ascii="Times New Roman" w:hAnsi="Times New Roman" w:cs="Times New Roman"/>
          <w:b/>
          <w:bCs/>
          <w:sz w:val="28"/>
          <w:szCs w:val="28"/>
        </w:rPr>
      </w:pPr>
      <w:r>
        <w:rPr>
          <w:rFonts w:ascii="Times New Roman" w:hAnsi="Times New Roman" w:cs="Times New Roman"/>
          <w:sz w:val="28"/>
          <w:szCs w:val="28"/>
        </w:rPr>
        <w:t>中农国科（南京）规划设计有限公司原名“农业部南京设计院”，1985年经农牧渔业部批准成立，2021年11月更名为“中农国科（南京）规划设计有限公司”。长期从事农业建设工程总承包业务以及项目管理和相关的技术与咨询服务工作，业务范围立足江苏，辐射全国。近三年承担部委直属单位的农业咨询、设计120余项，其中与渔业相关的项目37项，如《江苏省射阳现代水产产业园项目》、《广东省阳东国家级渔港经济区建设规划》、《江苏省渔政部门执法专业资产配置研究》等；近三年承担地方单位的农业咨询、设计400余项，其中与渔业相关的项目包括《新疆维吾尔自治区大水面生态渔业发展规划(2023-2030年)》、《沿海集团海水养殖区河蟹种业创新基地建设项目》、《江苏省河蟹遗传材料保存与创新利用中心建设项目》、《赣榆区宋庄镇集中连片内陆养殖池塘标准化改造和尾水治理建设项目》、《渭南市大荔县黄河流域农业面源污染治理项目》等。同时经主管部门批准设立“中国农业科学院农业工程技术中心规划设计院”，与“农业农村部南京农业机械化研究所农业工程规划研究中心”实行一套人员三块牌子运行，是集行业政策研究、农业科研攻关、市场技术服务为一体的国有全资平台。通过多年积累与各级行业主管部门、高校科研企事业单位建立了良好的信任与合作关系。</w:t>
      </w:r>
    </w:p>
    <w:p w14:paraId="7A769192">
      <w:pPr>
        <w:ind w:firstLine="560"/>
        <w:rPr>
          <w:rFonts w:ascii="Times New Roman" w:hAnsi="Times New Roman" w:cs="Times New Roman"/>
          <w:bCs/>
          <w:sz w:val="28"/>
          <w:szCs w:val="28"/>
        </w:rPr>
      </w:pPr>
      <w:bookmarkStart w:id="4" w:name="_Hlk186551350"/>
      <w:r>
        <w:rPr>
          <w:rFonts w:hint="eastAsia" w:ascii="Times New Roman" w:hAnsi="Times New Roman" w:cs="Times New Roman"/>
          <w:bCs/>
          <w:sz w:val="28"/>
          <w:szCs w:val="28"/>
        </w:rPr>
        <w:t>南京万瑞环境科技有限公司是一家专注于水环境生态治理、养殖尾水治理、黑臭河道治理、土壤修复、高难度废水处理领域的国家高新技术企业。与中国科学院南京地理与湖泊研究所、江苏省渔业技术推广中心、江苏省淡水水产研究所等科研机构共同联合起草、制定了《池塘养殖尾水生态处理技术规范》（</w:t>
      </w:r>
      <w:r>
        <w:rPr>
          <w:rFonts w:ascii="Times New Roman" w:hAnsi="Times New Roman" w:cs="Times New Roman"/>
          <w:bCs/>
          <w:sz w:val="28"/>
          <w:szCs w:val="28"/>
        </w:rPr>
        <w:t>DB32/T4725-2024）。与生态环境部南京环境科学研究所、中国科学院南京地理与湖泊研究所、常州工学院等单位共同完成并申报了《长江下游连片池塘养殖尾水治理关键技术与应用》科技进步奖二等奖。</w:t>
      </w:r>
      <w:r>
        <w:rPr>
          <w:rFonts w:hint="eastAsia" w:ascii="Times New Roman" w:hAnsi="Times New Roman" w:cs="Times New Roman"/>
          <w:bCs/>
          <w:sz w:val="28"/>
          <w:szCs w:val="28"/>
        </w:rPr>
        <w:t>在环境治理领域拥有多项发明专利，提出“微生物</w:t>
      </w:r>
      <w:r>
        <w:rPr>
          <w:rFonts w:ascii="Times New Roman" w:hAnsi="Times New Roman" w:cs="Times New Roman"/>
          <w:bCs/>
          <w:sz w:val="28"/>
          <w:szCs w:val="28"/>
        </w:rPr>
        <w:t>+生态处理”工艺概念，对池塘养殖尾水、农田退水和黑臭河水体进行有效治理，实现“水动力提升、水生态修复、水污染治理”目标，重构稳定和长期有效的水体自净生态系统。目前已承接数万亩水面的养殖尾水治理项目，养殖品种包含：螃蟹，青虾，四大家鱼，泥鳅，南美白对虾，轮虫等，治理后均稳定达标排放。</w:t>
      </w:r>
    </w:p>
    <w:bookmarkEnd w:id="4"/>
    <w:p w14:paraId="31BB882C">
      <w:pPr>
        <w:pStyle w:val="23"/>
        <w:spacing w:line="360" w:lineRule="auto"/>
        <w:rPr>
          <w:rFonts w:ascii="Times New Roman" w:hAnsi="Times New Roman" w:eastAsia="黑体" w:cs="Times New Roman"/>
          <w:b w:val="0"/>
          <w:bCs w:val="0"/>
          <w:szCs w:val="28"/>
        </w:rPr>
      </w:pPr>
      <w:bookmarkStart w:id="5" w:name="_Toc186557619"/>
      <w:r>
        <w:rPr>
          <w:rFonts w:ascii="Times New Roman" w:hAnsi="Times New Roman" w:eastAsia="黑体" w:cs="Times New Roman"/>
          <w:b w:val="0"/>
          <w:bCs w:val="0"/>
          <w:szCs w:val="28"/>
        </w:rPr>
        <w:t>1.3 主要工作过程</w:t>
      </w:r>
      <w:bookmarkEnd w:id="5"/>
    </w:p>
    <w:p w14:paraId="0263DCD3">
      <w:pPr>
        <w:ind w:firstLine="560"/>
        <w:rPr>
          <w:rFonts w:ascii="Times New Roman" w:hAnsi="Times New Roman" w:cs="Times New Roman"/>
          <w:sz w:val="28"/>
          <w:szCs w:val="28"/>
        </w:rPr>
      </w:pPr>
      <w:r>
        <w:rPr>
          <w:rFonts w:ascii="Times New Roman" w:hAnsi="Times New Roman" w:cs="Times New Roman"/>
          <w:sz w:val="28"/>
          <w:szCs w:val="28"/>
        </w:rPr>
        <w:t>规范编制包括4个主要环节。</w:t>
      </w:r>
    </w:p>
    <w:p w14:paraId="4C1B4027">
      <w:pPr>
        <w:ind w:firstLine="560"/>
        <w:rPr>
          <w:rFonts w:ascii="Times New Roman" w:hAnsi="Times New Roman" w:cs="Times New Roman"/>
          <w:sz w:val="28"/>
          <w:szCs w:val="28"/>
        </w:rPr>
      </w:pPr>
      <w:r>
        <w:rPr>
          <w:rFonts w:ascii="Times New Roman" w:hAnsi="Times New Roman" w:cs="Times New Roman"/>
          <w:sz w:val="28"/>
          <w:szCs w:val="28"/>
        </w:rPr>
        <w:t>（1）202</w:t>
      </w:r>
      <w:r>
        <w:rPr>
          <w:rFonts w:hint="eastAsia" w:ascii="Times New Roman" w:hAnsi="Times New Roman" w:cs="Times New Roman"/>
          <w:sz w:val="28"/>
          <w:szCs w:val="28"/>
        </w:rPr>
        <w:t>4</w:t>
      </w:r>
      <w:r>
        <w:rPr>
          <w:rFonts w:ascii="Times New Roman" w:hAnsi="Times New Roman" w:cs="Times New Roman"/>
          <w:sz w:val="28"/>
          <w:szCs w:val="28"/>
        </w:rPr>
        <w:t>年6-</w:t>
      </w:r>
      <w:r>
        <w:rPr>
          <w:rFonts w:hint="eastAsia" w:ascii="Times New Roman" w:hAnsi="Times New Roman" w:cs="Times New Roman"/>
          <w:sz w:val="28"/>
          <w:szCs w:val="28"/>
        </w:rPr>
        <w:t>11</w:t>
      </w:r>
      <w:r>
        <w:rPr>
          <w:rFonts w:ascii="Times New Roman" w:hAnsi="Times New Roman" w:cs="Times New Roman"/>
          <w:sz w:val="28"/>
          <w:szCs w:val="28"/>
        </w:rPr>
        <w:t>月，一是收集整理淡水池塘工艺需求；二是根据各养殖品种或模式的生产特点，对连云港、盐城、宿迁、南京、无锡和常州等地开展</w:t>
      </w:r>
      <w:r>
        <w:rPr>
          <w:rFonts w:ascii="Times New Roman" w:hAnsi="Times New Roman" w:cs="Times New Roman"/>
          <w:color w:val="000000"/>
          <w:sz w:val="28"/>
          <w:szCs w:val="28"/>
          <w:lang w:bidi="ar"/>
        </w:rPr>
        <w:t>现场调研，调研过程中广泛收集相关县区、镇街和地方养殖企业建议。</w:t>
      </w:r>
    </w:p>
    <w:p w14:paraId="4C78E62C">
      <w:pPr>
        <w:ind w:firstLine="560"/>
        <w:rPr>
          <w:rFonts w:ascii="Times New Roman" w:hAnsi="Times New Roman" w:cs="Times New Roman"/>
          <w:sz w:val="28"/>
          <w:szCs w:val="28"/>
        </w:rPr>
      </w:pPr>
      <w:r>
        <w:rPr>
          <w:rFonts w:ascii="Times New Roman" w:hAnsi="Times New Roman" w:cs="Times New Roman"/>
          <w:sz w:val="28"/>
          <w:szCs w:val="28"/>
        </w:rPr>
        <w:t>（2）202</w:t>
      </w:r>
      <w:r>
        <w:rPr>
          <w:rFonts w:hint="eastAsia" w:ascii="Times New Roman" w:hAnsi="Times New Roman" w:cs="Times New Roman"/>
          <w:sz w:val="28"/>
          <w:szCs w:val="28"/>
        </w:rPr>
        <w:t>4</w:t>
      </w:r>
      <w:r>
        <w:rPr>
          <w:rFonts w:ascii="Times New Roman" w:hAnsi="Times New Roman" w:cs="Times New Roman"/>
          <w:sz w:val="28"/>
          <w:szCs w:val="28"/>
        </w:rPr>
        <w:t>年1</w:t>
      </w:r>
      <w:r>
        <w:rPr>
          <w:rFonts w:hint="eastAsia" w:ascii="Times New Roman" w:hAnsi="Times New Roman" w:cs="Times New Roman"/>
          <w:sz w:val="28"/>
          <w:szCs w:val="28"/>
        </w:rPr>
        <w:t>2</w:t>
      </w:r>
      <w:r>
        <w:rPr>
          <w:rFonts w:ascii="Times New Roman" w:hAnsi="Times New Roman" w:cs="Times New Roman"/>
          <w:sz w:val="28"/>
          <w:szCs w:val="28"/>
        </w:rPr>
        <w:t>月，标准框架及编制说明编制，向主管部门、行业专家、养殖企业等征求意见，结合征求意见，完善标准框架和编制说明</w:t>
      </w:r>
      <w:r>
        <w:rPr>
          <w:rFonts w:hint="eastAsia" w:ascii="Times New Roman" w:hAnsi="Times New Roman" w:cs="Times New Roman"/>
          <w:sz w:val="28"/>
          <w:szCs w:val="28"/>
        </w:rPr>
        <w:t>。</w:t>
      </w:r>
    </w:p>
    <w:p w14:paraId="5522F3D5">
      <w:pPr>
        <w:ind w:firstLine="560"/>
        <w:rPr>
          <w:rFonts w:ascii="Times New Roman" w:hAnsi="Times New Roman" w:cs="Times New Roman"/>
          <w:sz w:val="28"/>
          <w:szCs w:val="28"/>
        </w:rPr>
      </w:pPr>
      <w:r>
        <w:rPr>
          <w:rFonts w:ascii="Times New Roman" w:hAnsi="Times New Roman" w:cs="Times New Roman"/>
          <w:sz w:val="28"/>
          <w:szCs w:val="28"/>
        </w:rPr>
        <w:t>（3）202</w:t>
      </w:r>
      <w:r>
        <w:rPr>
          <w:rFonts w:hint="eastAsia" w:ascii="Times New Roman" w:hAnsi="Times New Roman" w:cs="Times New Roman"/>
          <w:sz w:val="28"/>
          <w:szCs w:val="28"/>
        </w:rPr>
        <w:t>5</w:t>
      </w:r>
      <w:r>
        <w:rPr>
          <w:rFonts w:ascii="Times New Roman" w:hAnsi="Times New Roman" w:cs="Times New Roman"/>
          <w:sz w:val="28"/>
          <w:szCs w:val="28"/>
        </w:rPr>
        <w:t>年</w:t>
      </w:r>
      <w:r>
        <w:rPr>
          <w:rFonts w:hint="eastAsia" w:ascii="Times New Roman" w:hAnsi="Times New Roman" w:cs="Times New Roman"/>
          <w:sz w:val="28"/>
          <w:szCs w:val="28"/>
        </w:rPr>
        <w:t>1</w:t>
      </w:r>
      <w:r>
        <w:rPr>
          <w:rFonts w:ascii="Times New Roman" w:hAnsi="Times New Roman" w:cs="Times New Roman"/>
          <w:sz w:val="28"/>
          <w:szCs w:val="28"/>
        </w:rPr>
        <w:t>月，完成《淡水池塘标准化建设改造技术规范》初稿，向主管部门、行业专家、养殖企业等征求意见，结合征求意见，完成《淡水池塘标准化建设改造技术规范》送审稿</w:t>
      </w:r>
      <w:r>
        <w:rPr>
          <w:rFonts w:hint="eastAsia" w:ascii="Times New Roman" w:hAnsi="Times New Roman" w:cs="Times New Roman"/>
          <w:sz w:val="28"/>
          <w:szCs w:val="28"/>
        </w:rPr>
        <w:t>。</w:t>
      </w:r>
    </w:p>
    <w:p w14:paraId="38F12804">
      <w:pPr>
        <w:ind w:firstLine="560"/>
        <w:rPr>
          <w:rFonts w:ascii="Times New Roman" w:hAnsi="Times New Roman" w:cs="Times New Roman"/>
          <w:sz w:val="28"/>
          <w:szCs w:val="28"/>
        </w:rPr>
      </w:pPr>
      <w:r>
        <w:rPr>
          <w:rFonts w:ascii="Times New Roman" w:hAnsi="Times New Roman" w:cs="Times New Roman"/>
          <w:sz w:val="28"/>
          <w:szCs w:val="28"/>
        </w:rPr>
        <w:t>（4）202</w:t>
      </w:r>
      <w:r>
        <w:rPr>
          <w:rFonts w:hint="eastAsia" w:ascii="Times New Roman" w:hAnsi="Times New Roman" w:cs="Times New Roman"/>
          <w:sz w:val="28"/>
          <w:szCs w:val="28"/>
        </w:rPr>
        <w:t>5</w:t>
      </w:r>
      <w:r>
        <w:rPr>
          <w:rFonts w:ascii="Times New Roman" w:hAnsi="Times New Roman" w:cs="Times New Roman"/>
          <w:sz w:val="28"/>
          <w:szCs w:val="28"/>
        </w:rPr>
        <w:t>年2月，组织专家开展《淡水池塘标准化建设改造技术规范》（送审稿）审查，根据专家意见修改送审稿，形成《淡水池塘标准化建设改造技术规范》报批稿</w:t>
      </w:r>
      <w:r>
        <w:rPr>
          <w:rFonts w:hint="eastAsia" w:ascii="Times New Roman" w:hAnsi="Times New Roman" w:cs="Times New Roman"/>
          <w:sz w:val="28"/>
          <w:szCs w:val="28"/>
        </w:rPr>
        <w:t>。</w:t>
      </w:r>
    </w:p>
    <w:p w14:paraId="1699020A">
      <w:pPr>
        <w:pStyle w:val="23"/>
        <w:spacing w:line="360" w:lineRule="auto"/>
        <w:jc w:val="both"/>
        <w:rPr>
          <w:rFonts w:ascii="Times New Roman" w:hAnsi="Times New Roman" w:eastAsia="黑体" w:cs="Times New Roman"/>
          <w:b w:val="0"/>
          <w:bCs w:val="0"/>
          <w:szCs w:val="28"/>
        </w:rPr>
      </w:pPr>
      <w:bookmarkStart w:id="6" w:name="_Toc186557620"/>
      <w:r>
        <w:rPr>
          <w:rFonts w:ascii="Times New Roman" w:hAnsi="Times New Roman" w:eastAsia="黑体" w:cs="Times New Roman"/>
          <w:b w:val="0"/>
          <w:bCs w:val="0"/>
          <w:szCs w:val="28"/>
        </w:rPr>
        <w:t>1.4 主要起草人员及分工</w:t>
      </w:r>
      <w:bookmarkEnd w:id="6"/>
    </w:p>
    <w:p w14:paraId="06EFF248">
      <w:pPr>
        <w:ind w:firstLine="560"/>
        <w:rPr>
          <w:rFonts w:ascii="Times New Roman" w:hAnsi="Times New Roman" w:cs="Times New Roman"/>
          <w:b/>
          <w:bCs/>
          <w:sz w:val="28"/>
          <w:szCs w:val="28"/>
        </w:rPr>
      </w:pPr>
      <w:r>
        <w:rPr>
          <w:rFonts w:ascii="Times New Roman" w:hAnsi="Times New Roman" w:cs="Times New Roman"/>
          <w:sz w:val="28"/>
          <w:szCs w:val="28"/>
        </w:rPr>
        <w:t>接受任务后，中农国科（南京）规划设计有限公司、南京万瑞环境科技有限公司组织成立了标准编制组人（详见表1）。</w:t>
      </w:r>
      <w:r>
        <w:rPr>
          <w:rFonts w:ascii="Times New Roman" w:hAnsi="Times New Roman" w:cs="Times New Roman"/>
          <w:bCs/>
          <w:sz w:val="28"/>
          <w:szCs w:val="28"/>
        </w:rPr>
        <w:t>主要起草人包括：</w:t>
      </w:r>
      <w:r>
        <w:rPr>
          <w:rFonts w:hint="eastAsia" w:ascii="Times New Roman" w:hAnsi="Times New Roman" w:cs="Times New Roman"/>
          <w:bCs/>
          <w:sz w:val="28"/>
          <w:szCs w:val="28"/>
        </w:rPr>
        <w:t>杨晓文、冯杰、张睿智、刘倩媛、伍国林、马建、杨柯、程鑫、李伟科、陈文文、江婷婷、魏锋、孙麒、黄立平、史武杰、朱民波、李娜娜、李昂，</w:t>
      </w:r>
      <w:r>
        <w:rPr>
          <w:rFonts w:ascii="Times New Roman" w:hAnsi="Times New Roman" w:cs="Times New Roman"/>
          <w:bCs/>
          <w:sz w:val="28"/>
          <w:szCs w:val="28"/>
        </w:rPr>
        <w:t>共1</w:t>
      </w:r>
      <w:r>
        <w:rPr>
          <w:rFonts w:hint="eastAsia" w:ascii="Times New Roman" w:hAnsi="Times New Roman" w:cs="Times New Roman"/>
          <w:bCs/>
          <w:sz w:val="28"/>
          <w:szCs w:val="28"/>
        </w:rPr>
        <w:t>8</w:t>
      </w:r>
      <w:r>
        <w:rPr>
          <w:rFonts w:ascii="Times New Roman" w:hAnsi="Times New Roman" w:cs="Times New Roman"/>
          <w:bCs/>
          <w:sz w:val="28"/>
          <w:szCs w:val="28"/>
        </w:rPr>
        <w:t>人。</w:t>
      </w:r>
    </w:p>
    <w:p w14:paraId="3E2E73EC">
      <w:pPr>
        <w:spacing w:before="62" w:after="62" w:line="400" w:lineRule="exact"/>
        <w:ind w:firstLine="562"/>
        <w:jc w:val="center"/>
        <w:rPr>
          <w:rFonts w:ascii="Times New Roman" w:hAnsi="Times New Roman" w:cs="Times New Roman"/>
          <w:b/>
          <w:bCs/>
          <w:sz w:val="28"/>
          <w:szCs w:val="28"/>
        </w:rPr>
      </w:pPr>
      <w:r>
        <w:rPr>
          <w:rFonts w:ascii="Times New Roman" w:hAnsi="Times New Roman" w:cs="Times New Roman"/>
          <w:b/>
          <w:bCs/>
          <w:sz w:val="28"/>
          <w:szCs w:val="28"/>
        </w:rPr>
        <w:t>表1 编制组人员任务分工</w:t>
      </w:r>
    </w:p>
    <w:tbl>
      <w:tblPr>
        <w:tblStyle w:val="11"/>
        <w:tblW w:w="9056" w:type="dxa"/>
        <w:jc w:val="center"/>
        <w:tblLayout w:type="fixed"/>
        <w:tblCellMar>
          <w:top w:w="0" w:type="dxa"/>
          <w:left w:w="108" w:type="dxa"/>
          <w:bottom w:w="0" w:type="dxa"/>
          <w:right w:w="108" w:type="dxa"/>
        </w:tblCellMar>
      </w:tblPr>
      <w:tblGrid>
        <w:gridCol w:w="743"/>
        <w:gridCol w:w="1300"/>
        <w:gridCol w:w="2800"/>
        <w:gridCol w:w="1651"/>
        <w:gridCol w:w="2562"/>
      </w:tblGrid>
      <w:tr w14:paraId="3B06C045">
        <w:tblPrEx>
          <w:tblCellMar>
            <w:top w:w="0" w:type="dxa"/>
            <w:left w:w="108" w:type="dxa"/>
            <w:bottom w:w="0" w:type="dxa"/>
            <w:right w:w="108" w:type="dxa"/>
          </w:tblCellMar>
        </w:tblPrEx>
        <w:trPr>
          <w:trHeight w:val="397" w:hRule="atLeast"/>
          <w:tblHeader/>
          <w:jc w:val="center"/>
        </w:trPr>
        <w:tc>
          <w:tcPr>
            <w:tcW w:w="743" w:type="dxa"/>
            <w:tcBorders>
              <w:top w:val="single" w:color="000000" w:sz="4" w:space="0"/>
              <w:left w:val="single" w:color="000000" w:sz="4" w:space="0"/>
              <w:bottom w:val="single" w:color="000000" w:sz="4" w:space="0"/>
              <w:right w:val="nil"/>
            </w:tcBorders>
            <w:shd w:val="clear" w:color="auto" w:fill="auto"/>
            <w:vAlign w:val="center"/>
          </w:tcPr>
          <w:p w14:paraId="1721EE51">
            <w:pPr>
              <w:widowControl/>
              <w:ind w:firstLine="0" w:firstLineChars="0"/>
              <w:jc w:val="center"/>
              <w:textAlignment w:val="center"/>
              <w:rPr>
                <w:rFonts w:ascii="Times New Roman" w:hAnsi="Times New Roman" w:cs="Times New Roman"/>
                <w:b/>
                <w:bCs/>
                <w:color w:val="000000"/>
                <w:lang w:bidi="ar"/>
              </w:rPr>
            </w:pPr>
            <w:r>
              <w:rPr>
                <w:rFonts w:ascii="Times New Roman" w:hAnsi="Times New Roman" w:cs="Times New Roman"/>
                <w:b/>
                <w:bCs/>
                <w:color w:val="000000"/>
                <w:lang w:bidi="ar"/>
              </w:rPr>
              <w:t>序号</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05B24">
            <w:pPr>
              <w:widowControl/>
              <w:ind w:firstLine="0" w:firstLineChars="0"/>
              <w:jc w:val="center"/>
              <w:textAlignment w:val="center"/>
              <w:rPr>
                <w:rFonts w:ascii="Times New Roman" w:hAnsi="Times New Roman" w:cs="Times New Roman"/>
                <w:b/>
                <w:bCs/>
                <w:color w:val="000000"/>
                <w:lang w:bidi="ar"/>
              </w:rPr>
            </w:pPr>
            <w:r>
              <w:rPr>
                <w:rFonts w:ascii="Times New Roman" w:hAnsi="Times New Roman" w:cs="Times New Roman"/>
                <w:b/>
                <w:bCs/>
                <w:color w:val="000000"/>
                <w:lang w:bidi="ar"/>
              </w:rPr>
              <w:t>姓名</w:t>
            </w:r>
          </w:p>
        </w:tc>
        <w:tc>
          <w:tcPr>
            <w:tcW w:w="2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53304">
            <w:pPr>
              <w:widowControl/>
              <w:ind w:firstLine="0" w:firstLineChars="0"/>
              <w:jc w:val="center"/>
              <w:textAlignment w:val="center"/>
              <w:rPr>
                <w:rFonts w:ascii="Times New Roman" w:hAnsi="Times New Roman" w:cs="Times New Roman"/>
                <w:b/>
                <w:bCs/>
                <w:color w:val="000000"/>
                <w:lang w:bidi="ar"/>
              </w:rPr>
            </w:pPr>
            <w:r>
              <w:rPr>
                <w:rFonts w:ascii="Times New Roman" w:hAnsi="Times New Roman" w:cs="Times New Roman"/>
                <w:b/>
                <w:bCs/>
                <w:color w:val="000000"/>
                <w:lang w:bidi="ar"/>
              </w:rPr>
              <w:t>单位名称</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31079">
            <w:pPr>
              <w:widowControl/>
              <w:ind w:firstLine="0" w:firstLineChars="0"/>
              <w:jc w:val="center"/>
              <w:textAlignment w:val="center"/>
              <w:rPr>
                <w:rFonts w:ascii="Times New Roman" w:hAnsi="Times New Roman" w:cs="Times New Roman"/>
                <w:b/>
                <w:bCs/>
                <w:color w:val="000000"/>
                <w:lang w:bidi="ar"/>
              </w:rPr>
            </w:pPr>
            <w:r>
              <w:rPr>
                <w:rFonts w:ascii="Times New Roman" w:hAnsi="Times New Roman" w:cs="Times New Roman"/>
                <w:b/>
                <w:bCs/>
                <w:color w:val="000000"/>
                <w:lang w:bidi="ar"/>
              </w:rPr>
              <w:t>职务/职称</w:t>
            </w:r>
          </w:p>
        </w:tc>
        <w:tc>
          <w:tcPr>
            <w:tcW w:w="2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BBAB6">
            <w:pPr>
              <w:widowControl/>
              <w:ind w:firstLine="0" w:firstLineChars="0"/>
              <w:jc w:val="center"/>
              <w:textAlignment w:val="center"/>
              <w:rPr>
                <w:rFonts w:ascii="Times New Roman" w:hAnsi="Times New Roman" w:cs="Times New Roman"/>
                <w:b/>
                <w:bCs/>
                <w:color w:val="000000"/>
                <w:lang w:bidi="ar"/>
              </w:rPr>
            </w:pPr>
            <w:r>
              <w:rPr>
                <w:rFonts w:ascii="Times New Roman" w:hAnsi="Times New Roman" w:cs="Times New Roman"/>
                <w:b/>
                <w:bCs/>
                <w:color w:val="000000"/>
                <w:lang w:bidi="ar"/>
              </w:rPr>
              <w:t>项目分工</w:t>
            </w:r>
          </w:p>
        </w:tc>
      </w:tr>
      <w:tr w14:paraId="63E8C660">
        <w:tblPrEx>
          <w:tblCellMar>
            <w:top w:w="0" w:type="dxa"/>
            <w:left w:w="108" w:type="dxa"/>
            <w:bottom w:w="0" w:type="dxa"/>
            <w:right w:w="108" w:type="dxa"/>
          </w:tblCellMar>
        </w:tblPrEx>
        <w:trPr>
          <w:trHeight w:val="397" w:hRule="atLeast"/>
          <w:jc w:val="center"/>
        </w:trPr>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ADD21">
            <w:pPr>
              <w:ind w:firstLine="0" w:firstLineChars="0"/>
              <w:jc w:val="center"/>
              <w:rPr>
                <w:rFonts w:ascii="Times New Roman" w:hAnsi="Times New Roman" w:cs="Times New Roman"/>
                <w:color w:val="000000"/>
              </w:rPr>
            </w:pPr>
            <w:r>
              <w:rPr>
                <w:rFonts w:ascii="Times New Roman" w:hAnsi="Times New Roman" w:cs="Times New Roman"/>
                <w:color w:val="000000"/>
              </w:rPr>
              <w:t>1</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1E818">
            <w:pPr>
              <w:ind w:firstLine="0" w:firstLineChars="0"/>
              <w:jc w:val="center"/>
              <w:rPr>
                <w:rFonts w:ascii="Times New Roman" w:hAnsi="Times New Roman" w:cs="Times New Roman"/>
                <w:color w:val="000000"/>
              </w:rPr>
            </w:pPr>
            <w:r>
              <w:rPr>
                <w:rFonts w:ascii="Times New Roman" w:hAnsi="Times New Roman" w:cs="Times New Roman"/>
                <w:color w:val="000000"/>
              </w:rPr>
              <w:t>杨晓文</w:t>
            </w:r>
          </w:p>
        </w:tc>
        <w:tc>
          <w:tcPr>
            <w:tcW w:w="2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1C7E5">
            <w:pPr>
              <w:ind w:firstLine="0" w:firstLineChars="0"/>
              <w:jc w:val="center"/>
              <w:rPr>
                <w:rFonts w:ascii="Times New Roman" w:hAnsi="Times New Roman" w:cs="Times New Roman"/>
                <w:color w:val="000000"/>
              </w:rPr>
            </w:pPr>
            <w:r>
              <w:rPr>
                <w:rFonts w:ascii="Times New Roman" w:hAnsi="Times New Roman" w:cs="Times New Roman"/>
                <w:color w:val="000000"/>
              </w:rPr>
              <w:t>中农国科（南京）规划设计有限公司</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E7AAD">
            <w:pPr>
              <w:ind w:firstLine="0" w:firstLineChars="0"/>
              <w:jc w:val="center"/>
              <w:rPr>
                <w:rFonts w:ascii="Times New Roman" w:hAnsi="Times New Roman" w:cs="Times New Roman"/>
                <w:color w:val="000000"/>
              </w:rPr>
            </w:pPr>
            <w:r>
              <w:rPr>
                <w:rFonts w:ascii="Times New Roman" w:hAnsi="Times New Roman" w:cs="Times New Roman"/>
                <w:color w:val="000000"/>
              </w:rPr>
              <w:t>研究员</w:t>
            </w:r>
          </w:p>
        </w:tc>
        <w:tc>
          <w:tcPr>
            <w:tcW w:w="2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51A90">
            <w:pPr>
              <w:ind w:firstLine="0" w:firstLineChars="0"/>
              <w:jc w:val="center"/>
              <w:rPr>
                <w:rFonts w:ascii="Times New Roman" w:hAnsi="Times New Roman" w:cs="Times New Roman"/>
                <w:color w:val="000000"/>
              </w:rPr>
            </w:pPr>
            <w:r>
              <w:rPr>
                <w:rFonts w:ascii="Times New Roman" w:hAnsi="Times New Roman" w:cs="Times New Roman"/>
              </w:rPr>
              <w:t>政策指导、统筹协调</w:t>
            </w:r>
          </w:p>
        </w:tc>
      </w:tr>
      <w:tr w14:paraId="4B5DB720">
        <w:tblPrEx>
          <w:tblCellMar>
            <w:top w:w="0" w:type="dxa"/>
            <w:left w:w="108" w:type="dxa"/>
            <w:bottom w:w="0" w:type="dxa"/>
            <w:right w:w="108" w:type="dxa"/>
          </w:tblCellMar>
        </w:tblPrEx>
        <w:trPr>
          <w:trHeight w:val="397" w:hRule="atLeast"/>
          <w:jc w:val="center"/>
        </w:trPr>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F3653">
            <w:pPr>
              <w:ind w:firstLine="0" w:firstLineChars="0"/>
              <w:jc w:val="center"/>
              <w:rPr>
                <w:rFonts w:ascii="Times New Roman" w:hAnsi="Times New Roman" w:cs="Times New Roman"/>
                <w:color w:val="000000"/>
              </w:rPr>
            </w:pPr>
            <w:r>
              <w:rPr>
                <w:rFonts w:ascii="Times New Roman" w:hAnsi="Times New Roman" w:cs="Times New Roman"/>
                <w:color w:val="000000"/>
              </w:rPr>
              <w:t>2</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40C1C">
            <w:pPr>
              <w:ind w:firstLine="0" w:firstLineChars="0"/>
              <w:jc w:val="center"/>
              <w:rPr>
                <w:rFonts w:ascii="Times New Roman" w:hAnsi="Times New Roman" w:cs="Times New Roman"/>
                <w:color w:val="000000"/>
              </w:rPr>
            </w:pPr>
            <w:r>
              <w:rPr>
                <w:rFonts w:ascii="Times New Roman" w:hAnsi="Times New Roman" w:cs="Times New Roman"/>
              </w:rPr>
              <w:t>冯杰</w:t>
            </w:r>
          </w:p>
        </w:tc>
        <w:tc>
          <w:tcPr>
            <w:tcW w:w="2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14EAF">
            <w:pPr>
              <w:ind w:firstLine="0" w:firstLineChars="0"/>
              <w:jc w:val="center"/>
              <w:rPr>
                <w:rFonts w:ascii="Times New Roman" w:hAnsi="Times New Roman" w:cs="Times New Roman"/>
                <w:color w:val="000000"/>
              </w:rPr>
            </w:pPr>
            <w:r>
              <w:rPr>
                <w:rFonts w:ascii="Times New Roman" w:hAnsi="Times New Roman" w:cs="Times New Roman"/>
              </w:rPr>
              <w:t>南京万瑞环境科技有限公司</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47879">
            <w:pPr>
              <w:ind w:firstLine="0" w:firstLineChars="0"/>
              <w:jc w:val="center"/>
              <w:rPr>
                <w:rFonts w:ascii="Times New Roman" w:hAnsi="Times New Roman" w:cs="Times New Roman"/>
                <w:color w:val="000000"/>
              </w:rPr>
            </w:pPr>
            <w:r>
              <w:rPr>
                <w:rFonts w:ascii="Times New Roman" w:hAnsi="Times New Roman" w:cs="Times New Roman"/>
                <w:color w:val="000000"/>
              </w:rPr>
              <w:t>工程师</w:t>
            </w:r>
          </w:p>
        </w:tc>
        <w:tc>
          <w:tcPr>
            <w:tcW w:w="2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E9F2F">
            <w:pPr>
              <w:ind w:firstLine="0" w:firstLineChars="0"/>
              <w:jc w:val="center"/>
              <w:rPr>
                <w:rFonts w:ascii="Times New Roman" w:hAnsi="Times New Roman" w:cs="Times New Roman"/>
                <w:color w:val="000000"/>
              </w:rPr>
            </w:pPr>
            <w:r>
              <w:rPr>
                <w:rFonts w:ascii="Times New Roman" w:hAnsi="Times New Roman" w:cs="Times New Roman"/>
              </w:rPr>
              <w:t>政策指导、统筹协调</w:t>
            </w:r>
          </w:p>
        </w:tc>
      </w:tr>
      <w:tr w14:paraId="5CB63749">
        <w:tblPrEx>
          <w:tblCellMar>
            <w:top w:w="0" w:type="dxa"/>
            <w:left w:w="108" w:type="dxa"/>
            <w:bottom w:w="0" w:type="dxa"/>
            <w:right w:w="108" w:type="dxa"/>
          </w:tblCellMar>
        </w:tblPrEx>
        <w:trPr>
          <w:trHeight w:val="397" w:hRule="atLeast"/>
          <w:jc w:val="center"/>
        </w:trPr>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7136D">
            <w:pPr>
              <w:ind w:firstLine="0" w:firstLineChars="0"/>
              <w:jc w:val="center"/>
              <w:rPr>
                <w:rFonts w:ascii="Times New Roman" w:hAnsi="Times New Roman" w:cs="Times New Roman"/>
                <w:color w:val="000000"/>
              </w:rPr>
            </w:pPr>
            <w:r>
              <w:rPr>
                <w:rFonts w:ascii="Times New Roman" w:hAnsi="Times New Roman" w:cs="Times New Roman"/>
                <w:color w:val="000000"/>
              </w:rPr>
              <w:t>3</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11D67">
            <w:pPr>
              <w:ind w:firstLine="0" w:firstLineChars="0"/>
              <w:jc w:val="center"/>
              <w:rPr>
                <w:rFonts w:ascii="Times New Roman" w:hAnsi="Times New Roman" w:cs="Times New Roman"/>
                <w:color w:val="000000"/>
              </w:rPr>
            </w:pPr>
            <w:r>
              <w:rPr>
                <w:rFonts w:ascii="Times New Roman" w:hAnsi="Times New Roman" w:cs="Times New Roman"/>
                <w:color w:val="000000"/>
              </w:rPr>
              <w:t>张睿智</w:t>
            </w:r>
          </w:p>
        </w:tc>
        <w:tc>
          <w:tcPr>
            <w:tcW w:w="2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1EC54">
            <w:pPr>
              <w:ind w:firstLine="0" w:firstLineChars="0"/>
              <w:jc w:val="center"/>
              <w:rPr>
                <w:rFonts w:ascii="Times New Roman" w:hAnsi="Times New Roman" w:cs="Times New Roman"/>
                <w:color w:val="000000"/>
              </w:rPr>
            </w:pPr>
            <w:r>
              <w:rPr>
                <w:rFonts w:ascii="Times New Roman" w:hAnsi="Times New Roman" w:cs="Times New Roman"/>
                <w:color w:val="000000"/>
              </w:rPr>
              <w:t>中农国科（南京）规划设计有限公司</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452B7">
            <w:pPr>
              <w:ind w:firstLine="0" w:firstLineChars="0"/>
              <w:jc w:val="center"/>
              <w:rPr>
                <w:rFonts w:ascii="Times New Roman" w:hAnsi="Times New Roman" w:cs="Times New Roman"/>
                <w:color w:val="000000"/>
              </w:rPr>
            </w:pPr>
            <w:r>
              <w:rPr>
                <w:rFonts w:ascii="Times New Roman" w:hAnsi="Times New Roman" w:cs="Times New Roman"/>
                <w:color w:val="000000"/>
              </w:rPr>
              <w:t>工程师</w:t>
            </w:r>
          </w:p>
        </w:tc>
        <w:tc>
          <w:tcPr>
            <w:tcW w:w="2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62E97">
            <w:pPr>
              <w:ind w:firstLine="0" w:firstLineChars="0"/>
              <w:jc w:val="center"/>
              <w:rPr>
                <w:rFonts w:ascii="Times New Roman" w:hAnsi="Times New Roman" w:cs="Times New Roman"/>
                <w:color w:val="000000"/>
              </w:rPr>
            </w:pPr>
            <w:r>
              <w:rPr>
                <w:rFonts w:ascii="Times New Roman" w:hAnsi="Times New Roman" w:cs="Times New Roman"/>
                <w:color w:val="000000"/>
              </w:rPr>
              <w:t>标准编制总体规划、技术制定与编制</w:t>
            </w:r>
          </w:p>
        </w:tc>
      </w:tr>
      <w:tr w14:paraId="34CA7739">
        <w:tblPrEx>
          <w:tblCellMar>
            <w:top w:w="0" w:type="dxa"/>
            <w:left w:w="108" w:type="dxa"/>
            <w:bottom w:w="0" w:type="dxa"/>
            <w:right w:w="108" w:type="dxa"/>
          </w:tblCellMar>
        </w:tblPrEx>
        <w:trPr>
          <w:trHeight w:val="397" w:hRule="atLeast"/>
          <w:jc w:val="center"/>
        </w:trPr>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3E2F4">
            <w:pPr>
              <w:ind w:firstLine="0" w:firstLineChars="0"/>
              <w:jc w:val="center"/>
              <w:rPr>
                <w:rFonts w:ascii="Times New Roman" w:hAnsi="Times New Roman" w:cs="Times New Roman"/>
                <w:color w:val="000000"/>
              </w:rPr>
            </w:pPr>
            <w:r>
              <w:rPr>
                <w:rFonts w:ascii="Times New Roman" w:hAnsi="Times New Roman" w:cs="Times New Roman"/>
                <w:color w:val="000000"/>
              </w:rPr>
              <w:t>4</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69902">
            <w:pPr>
              <w:ind w:firstLine="0" w:firstLineChars="0"/>
              <w:jc w:val="center"/>
              <w:rPr>
                <w:rFonts w:ascii="Times New Roman" w:hAnsi="Times New Roman" w:cs="Times New Roman"/>
                <w:color w:val="000000"/>
              </w:rPr>
            </w:pPr>
            <w:r>
              <w:rPr>
                <w:rFonts w:ascii="Times New Roman" w:hAnsi="Times New Roman" w:cs="Times New Roman"/>
                <w:color w:val="000000"/>
              </w:rPr>
              <w:t>刘倩媛</w:t>
            </w:r>
          </w:p>
        </w:tc>
        <w:tc>
          <w:tcPr>
            <w:tcW w:w="2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8D0EC">
            <w:pPr>
              <w:ind w:firstLine="0" w:firstLineChars="0"/>
              <w:jc w:val="center"/>
              <w:rPr>
                <w:rFonts w:ascii="Times New Roman" w:hAnsi="Times New Roman" w:cs="Times New Roman"/>
                <w:color w:val="000000"/>
              </w:rPr>
            </w:pPr>
            <w:r>
              <w:rPr>
                <w:rFonts w:ascii="Times New Roman" w:hAnsi="Times New Roman" w:cs="Times New Roman"/>
                <w:color w:val="000000"/>
              </w:rPr>
              <w:t>中农国科（南京）规划设计有限公司</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3B67E">
            <w:pPr>
              <w:ind w:firstLine="0" w:firstLineChars="0"/>
              <w:jc w:val="center"/>
              <w:rPr>
                <w:rFonts w:ascii="Times New Roman" w:hAnsi="Times New Roman" w:cs="Times New Roman"/>
                <w:color w:val="000000"/>
              </w:rPr>
            </w:pPr>
            <w:r>
              <w:rPr>
                <w:rFonts w:ascii="Times New Roman" w:hAnsi="Times New Roman" w:cs="Times New Roman"/>
                <w:color w:val="000000"/>
              </w:rPr>
              <w:t>工程师</w:t>
            </w:r>
          </w:p>
        </w:tc>
        <w:tc>
          <w:tcPr>
            <w:tcW w:w="2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CC190">
            <w:pPr>
              <w:ind w:firstLine="0" w:firstLineChars="0"/>
              <w:jc w:val="center"/>
              <w:rPr>
                <w:rFonts w:ascii="Times New Roman" w:hAnsi="Times New Roman" w:cs="Times New Roman"/>
                <w:color w:val="000000"/>
              </w:rPr>
            </w:pPr>
            <w:r>
              <w:rPr>
                <w:rFonts w:ascii="Times New Roman" w:hAnsi="Times New Roman" w:cs="Times New Roman"/>
              </w:rPr>
              <w:t>标准技术编制</w:t>
            </w:r>
          </w:p>
        </w:tc>
      </w:tr>
      <w:tr w14:paraId="605DA5F8">
        <w:tblPrEx>
          <w:tblCellMar>
            <w:top w:w="0" w:type="dxa"/>
            <w:left w:w="108" w:type="dxa"/>
            <w:bottom w:w="0" w:type="dxa"/>
            <w:right w:w="108" w:type="dxa"/>
          </w:tblCellMar>
        </w:tblPrEx>
        <w:trPr>
          <w:trHeight w:val="397" w:hRule="atLeast"/>
          <w:jc w:val="center"/>
        </w:trPr>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C8B3D">
            <w:pPr>
              <w:ind w:firstLine="0" w:firstLineChars="0"/>
              <w:jc w:val="center"/>
              <w:rPr>
                <w:rFonts w:ascii="Times New Roman" w:hAnsi="Times New Roman" w:cs="Times New Roman"/>
                <w:color w:val="000000"/>
              </w:rPr>
            </w:pPr>
            <w:r>
              <w:rPr>
                <w:rFonts w:ascii="Times New Roman" w:hAnsi="Times New Roman" w:cs="Times New Roman"/>
                <w:color w:val="000000"/>
              </w:rPr>
              <w:t>5</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69294">
            <w:pPr>
              <w:ind w:firstLine="0" w:firstLineChars="0"/>
              <w:jc w:val="center"/>
              <w:rPr>
                <w:rFonts w:ascii="Times New Roman" w:hAnsi="Times New Roman" w:cs="Times New Roman"/>
                <w:color w:val="000000"/>
              </w:rPr>
            </w:pPr>
            <w:r>
              <w:rPr>
                <w:rFonts w:ascii="Times New Roman" w:hAnsi="Times New Roman" w:cs="Times New Roman"/>
                <w:color w:val="000000"/>
              </w:rPr>
              <w:t>伍国林</w:t>
            </w:r>
          </w:p>
        </w:tc>
        <w:tc>
          <w:tcPr>
            <w:tcW w:w="2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2156D">
            <w:pPr>
              <w:ind w:firstLine="0" w:firstLineChars="0"/>
              <w:jc w:val="center"/>
              <w:rPr>
                <w:rFonts w:ascii="Times New Roman" w:hAnsi="Times New Roman" w:cs="Times New Roman"/>
                <w:color w:val="000000"/>
              </w:rPr>
            </w:pPr>
            <w:r>
              <w:rPr>
                <w:rFonts w:ascii="Times New Roman" w:hAnsi="Times New Roman" w:cs="Times New Roman"/>
                <w:color w:val="000000"/>
              </w:rPr>
              <w:t>中农国科（南京）规划设计有限公司</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CD262">
            <w:pPr>
              <w:ind w:firstLine="0" w:firstLineChars="0"/>
              <w:jc w:val="center"/>
              <w:rPr>
                <w:rFonts w:ascii="Times New Roman" w:hAnsi="Times New Roman" w:cs="Times New Roman"/>
                <w:color w:val="000000"/>
              </w:rPr>
            </w:pPr>
            <w:r>
              <w:rPr>
                <w:rFonts w:ascii="Times New Roman" w:hAnsi="Times New Roman" w:cs="Times New Roman"/>
                <w:color w:val="000000"/>
              </w:rPr>
              <w:t>研究员</w:t>
            </w:r>
          </w:p>
        </w:tc>
        <w:tc>
          <w:tcPr>
            <w:tcW w:w="2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FE6FF">
            <w:pPr>
              <w:ind w:firstLine="0" w:firstLineChars="0"/>
              <w:jc w:val="center"/>
              <w:rPr>
                <w:rFonts w:ascii="Times New Roman" w:hAnsi="Times New Roman" w:cs="Times New Roman"/>
              </w:rPr>
            </w:pPr>
            <w:r>
              <w:rPr>
                <w:rFonts w:ascii="Times New Roman" w:hAnsi="Times New Roman" w:cs="Times New Roman"/>
                <w:color w:val="000000"/>
              </w:rPr>
              <w:t>标准校审</w:t>
            </w:r>
          </w:p>
        </w:tc>
      </w:tr>
      <w:tr w14:paraId="473A917A">
        <w:tblPrEx>
          <w:tblCellMar>
            <w:top w:w="0" w:type="dxa"/>
            <w:left w:w="108" w:type="dxa"/>
            <w:bottom w:w="0" w:type="dxa"/>
            <w:right w:w="108" w:type="dxa"/>
          </w:tblCellMar>
        </w:tblPrEx>
        <w:trPr>
          <w:trHeight w:val="397" w:hRule="atLeast"/>
          <w:jc w:val="center"/>
        </w:trPr>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4F310">
            <w:pPr>
              <w:ind w:firstLine="0" w:firstLineChars="0"/>
              <w:jc w:val="center"/>
              <w:rPr>
                <w:rFonts w:ascii="Times New Roman" w:hAnsi="Times New Roman" w:cs="Times New Roman"/>
                <w:color w:val="000000"/>
              </w:rPr>
            </w:pPr>
            <w:r>
              <w:rPr>
                <w:rFonts w:ascii="Times New Roman" w:hAnsi="Times New Roman" w:cs="Times New Roman"/>
                <w:color w:val="000000"/>
              </w:rPr>
              <w:t>6</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D69BB">
            <w:pPr>
              <w:ind w:firstLine="0" w:firstLineChars="0"/>
              <w:jc w:val="center"/>
              <w:rPr>
                <w:rFonts w:ascii="Times New Roman" w:hAnsi="Times New Roman" w:cs="Times New Roman"/>
                <w:color w:val="000000"/>
              </w:rPr>
            </w:pPr>
            <w:r>
              <w:rPr>
                <w:rFonts w:ascii="Times New Roman" w:hAnsi="Times New Roman" w:cs="Times New Roman"/>
                <w:color w:val="000000"/>
              </w:rPr>
              <w:t>马建</w:t>
            </w:r>
          </w:p>
        </w:tc>
        <w:tc>
          <w:tcPr>
            <w:tcW w:w="2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DF842">
            <w:pPr>
              <w:ind w:firstLine="0" w:firstLineChars="0"/>
              <w:jc w:val="center"/>
              <w:rPr>
                <w:rFonts w:ascii="Times New Roman" w:hAnsi="Times New Roman" w:cs="Times New Roman"/>
                <w:color w:val="000000"/>
              </w:rPr>
            </w:pPr>
            <w:r>
              <w:rPr>
                <w:rFonts w:ascii="Times New Roman" w:hAnsi="Times New Roman" w:cs="Times New Roman"/>
                <w:color w:val="000000"/>
              </w:rPr>
              <w:t>中农国科（南京）规划设计有限公司</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9E734">
            <w:pPr>
              <w:ind w:firstLine="0" w:firstLineChars="0"/>
              <w:jc w:val="center"/>
              <w:rPr>
                <w:rFonts w:ascii="Times New Roman" w:hAnsi="Times New Roman" w:cs="Times New Roman"/>
                <w:color w:val="000000"/>
              </w:rPr>
            </w:pPr>
            <w:r>
              <w:rPr>
                <w:rFonts w:ascii="Times New Roman" w:hAnsi="Times New Roman" w:cs="Times New Roman"/>
                <w:color w:val="000000"/>
              </w:rPr>
              <w:t>工程师</w:t>
            </w:r>
          </w:p>
        </w:tc>
        <w:tc>
          <w:tcPr>
            <w:tcW w:w="2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766AB">
            <w:pPr>
              <w:ind w:firstLine="0" w:firstLineChars="0"/>
              <w:jc w:val="center"/>
              <w:rPr>
                <w:rFonts w:ascii="Times New Roman" w:hAnsi="Times New Roman" w:cs="Times New Roman"/>
                <w:color w:val="000000"/>
              </w:rPr>
            </w:pPr>
            <w:r>
              <w:rPr>
                <w:rFonts w:ascii="Times New Roman" w:hAnsi="Times New Roman" w:cs="Times New Roman"/>
              </w:rPr>
              <w:t>标准技术编制</w:t>
            </w:r>
          </w:p>
        </w:tc>
      </w:tr>
      <w:tr w14:paraId="5761ECC6">
        <w:tblPrEx>
          <w:tblCellMar>
            <w:top w:w="0" w:type="dxa"/>
            <w:left w:w="108" w:type="dxa"/>
            <w:bottom w:w="0" w:type="dxa"/>
            <w:right w:w="108" w:type="dxa"/>
          </w:tblCellMar>
        </w:tblPrEx>
        <w:trPr>
          <w:trHeight w:val="397" w:hRule="atLeast"/>
          <w:jc w:val="center"/>
        </w:trPr>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BC99E">
            <w:pPr>
              <w:ind w:firstLine="0" w:firstLineChars="0"/>
              <w:jc w:val="center"/>
              <w:rPr>
                <w:rFonts w:ascii="Times New Roman" w:hAnsi="Times New Roman" w:cs="Times New Roman"/>
                <w:color w:val="000000"/>
              </w:rPr>
            </w:pPr>
            <w:r>
              <w:rPr>
                <w:rFonts w:ascii="Times New Roman" w:hAnsi="Times New Roman" w:cs="Times New Roman"/>
                <w:color w:val="000000"/>
              </w:rPr>
              <w:t>7</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27322">
            <w:pPr>
              <w:ind w:firstLine="0" w:firstLineChars="0"/>
              <w:jc w:val="center"/>
              <w:rPr>
                <w:rFonts w:ascii="Times New Roman" w:hAnsi="Times New Roman" w:cs="Times New Roman"/>
                <w:color w:val="000000"/>
              </w:rPr>
            </w:pPr>
            <w:r>
              <w:rPr>
                <w:rFonts w:ascii="Times New Roman" w:hAnsi="Times New Roman" w:cs="Times New Roman"/>
                <w:color w:val="000000"/>
              </w:rPr>
              <w:t>杨柯</w:t>
            </w:r>
          </w:p>
        </w:tc>
        <w:tc>
          <w:tcPr>
            <w:tcW w:w="2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7DD28">
            <w:pPr>
              <w:ind w:firstLine="0" w:firstLineChars="0"/>
              <w:jc w:val="center"/>
              <w:rPr>
                <w:rFonts w:ascii="Times New Roman" w:hAnsi="Times New Roman" w:cs="Times New Roman"/>
                <w:color w:val="000000"/>
              </w:rPr>
            </w:pPr>
            <w:r>
              <w:rPr>
                <w:rFonts w:ascii="Times New Roman" w:hAnsi="Times New Roman" w:cs="Times New Roman"/>
                <w:color w:val="000000"/>
              </w:rPr>
              <w:t>中农国科（南京）规划设计有限公司</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C2079">
            <w:pPr>
              <w:ind w:firstLine="0" w:firstLineChars="0"/>
              <w:jc w:val="center"/>
              <w:rPr>
                <w:rFonts w:ascii="Times New Roman" w:hAnsi="Times New Roman" w:cs="Times New Roman"/>
                <w:color w:val="000000"/>
              </w:rPr>
            </w:pPr>
            <w:r>
              <w:rPr>
                <w:rFonts w:ascii="Times New Roman" w:hAnsi="Times New Roman" w:cs="Times New Roman"/>
                <w:color w:val="000000"/>
              </w:rPr>
              <w:t>国家一级注册结构工程师</w:t>
            </w:r>
          </w:p>
        </w:tc>
        <w:tc>
          <w:tcPr>
            <w:tcW w:w="2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68CBD">
            <w:pPr>
              <w:ind w:firstLine="0" w:firstLineChars="0"/>
              <w:jc w:val="center"/>
              <w:rPr>
                <w:rFonts w:ascii="Times New Roman" w:hAnsi="Times New Roman" w:cs="Times New Roman"/>
                <w:color w:val="000000"/>
              </w:rPr>
            </w:pPr>
            <w:r>
              <w:rPr>
                <w:rFonts w:ascii="Times New Roman" w:hAnsi="Times New Roman" w:cs="Times New Roman"/>
              </w:rPr>
              <w:t>标准技术编制</w:t>
            </w:r>
          </w:p>
        </w:tc>
      </w:tr>
      <w:tr w14:paraId="61D02398">
        <w:tblPrEx>
          <w:tblCellMar>
            <w:top w:w="0" w:type="dxa"/>
            <w:left w:w="108" w:type="dxa"/>
            <w:bottom w:w="0" w:type="dxa"/>
            <w:right w:w="108" w:type="dxa"/>
          </w:tblCellMar>
        </w:tblPrEx>
        <w:trPr>
          <w:trHeight w:val="397" w:hRule="atLeast"/>
          <w:jc w:val="center"/>
        </w:trPr>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55805">
            <w:pPr>
              <w:ind w:firstLine="0" w:firstLineChars="0"/>
              <w:jc w:val="center"/>
              <w:rPr>
                <w:rFonts w:ascii="Times New Roman" w:hAnsi="Times New Roman" w:cs="Times New Roman"/>
                <w:color w:val="000000"/>
              </w:rPr>
            </w:pPr>
            <w:r>
              <w:rPr>
                <w:rFonts w:ascii="Times New Roman" w:hAnsi="Times New Roman" w:cs="Times New Roman"/>
                <w:color w:val="000000"/>
              </w:rPr>
              <w:t>8</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EADD4">
            <w:pPr>
              <w:ind w:firstLine="0" w:firstLineChars="0"/>
              <w:jc w:val="center"/>
              <w:rPr>
                <w:rFonts w:ascii="Times New Roman" w:hAnsi="Times New Roman" w:cs="Times New Roman"/>
                <w:color w:val="000000"/>
              </w:rPr>
            </w:pPr>
            <w:r>
              <w:rPr>
                <w:rFonts w:ascii="Times New Roman" w:hAnsi="Times New Roman" w:cs="Times New Roman"/>
                <w:color w:val="000000"/>
              </w:rPr>
              <w:t>程鑫</w:t>
            </w:r>
          </w:p>
        </w:tc>
        <w:tc>
          <w:tcPr>
            <w:tcW w:w="2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F7B13">
            <w:pPr>
              <w:ind w:firstLine="0" w:firstLineChars="0"/>
              <w:jc w:val="center"/>
              <w:rPr>
                <w:rFonts w:ascii="Times New Roman" w:hAnsi="Times New Roman" w:cs="Times New Roman"/>
                <w:color w:val="000000"/>
              </w:rPr>
            </w:pPr>
            <w:r>
              <w:rPr>
                <w:rFonts w:ascii="Times New Roman" w:hAnsi="Times New Roman" w:cs="Times New Roman"/>
                <w:color w:val="000000"/>
              </w:rPr>
              <w:t>中农国科（南京）规划设计有限公司</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178AC">
            <w:pPr>
              <w:ind w:firstLine="0" w:firstLineChars="0"/>
              <w:jc w:val="center"/>
              <w:rPr>
                <w:rFonts w:ascii="Times New Roman" w:hAnsi="Times New Roman" w:cs="Times New Roman"/>
                <w:color w:val="000000"/>
              </w:rPr>
            </w:pPr>
            <w:r>
              <w:rPr>
                <w:rFonts w:ascii="Times New Roman" w:hAnsi="Times New Roman" w:cs="Times New Roman"/>
                <w:color w:val="000000"/>
              </w:rPr>
              <w:t>研究实习员</w:t>
            </w:r>
          </w:p>
        </w:tc>
        <w:tc>
          <w:tcPr>
            <w:tcW w:w="2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F201F">
            <w:pPr>
              <w:ind w:firstLine="0" w:firstLineChars="0"/>
              <w:jc w:val="center"/>
              <w:rPr>
                <w:rFonts w:ascii="Times New Roman" w:hAnsi="Times New Roman" w:cs="Times New Roman"/>
                <w:color w:val="000000"/>
              </w:rPr>
            </w:pPr>
            <w:r>
              <w:rPr>
                <w:rFonts w:ascii="Times New Roman" w:hAnsi="Times New Roman" w:cs="Times New Roman"/>
              </w:rPr>
              <w:t>标准技术编制</w:t>
            </w:r>
          </w:p>
        </w:tc>
      </w:tr>
      <w:tr w14:paraId="0BCD1AED">
        <w:tblPrEx>
          <w:tblCellMar>
            <w:top w:w="0" w:type="dxa"/>
            <w:left w:w="108" w:type="dxa"/>
            <w:bottom w:w="0" w:type="dxa"/>
            <w:right w:w="108" w:type="dxa"/>
          </w:tblCellMar>
        </w:tblPrEx>
        <w:trPr>
          <w:trHeight w:val="397" w:hRule="atLeast"/>
          <w:jc w:val="center"/>
        </w:trPr>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2725C">
            <w:pPr>
              <w:ind w:firstLine="0" w:firstLineChars="0"/>
              <w:jc w:val="center"/>
              <w:rPr>
                <w:rFonts w:ascii="Times New Roman" w:hAnsi="Times New Roman" w:cs="Times New Roman"/>
                <w:color w:val="000000"/>
              </w:rPr>
            </w:pPr>
            <w:r>
              <w:rPr>
                <w:rFonts w:ascii="Times New Roman" w:hAnsi="Times New Roman" w:cs="Times New Roman"/>
                <w:color w:val="000000"/>
              </w:rPr>
              <w:t>9</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9FBBA">
            <w:pPr>
              <w:ind w:firstLine="0" w:firstLineChars="0"/>
              <w:jc w:val="center"/>
              <w:rPr>
                <w:rFonts w:ascii="Times New Roman" w:hAnsi="Times New Roman" w:cs="Times New Roman"/>
                <w:color w:val="000000"/>
              </w:rPr>
            </w:pPr>
            <w:r>
              <w:rPr>
                <w:rFonts w:ascii="Times New Roman" w:hAnsi="Times New Roman" w:cs="Times New Roman"/>
                <w:color w:val="000000"/>
              </w:rPr>
              <w:t>李伟科</w:t>
            </w:r>
          </w:p>
        </w:tc>
        <w:tc>
          <w:tcPr>
            <w:tcW w:w="2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AF345">
            <w:pPr>
              <w:ind w:firstLine="0" w:firstLineChars="0"/>
              <w:jc w:val="center"/>
              <w:rPr>
                <w:rFonts w:ascii="Times New Roman" w:hAnsi="Times New Roman" w:cs="Times New Roman"/>
                <w:color w:val="000000"/>
              </w:rPr>
            </w:pPr>
            <w:r>
              <w:rPr>
                <w:rFonts w:ascii="Times New Roman" w:hAnsi="Times New Roman" w:cs="Times New Roman"/>
              </w:rPr>
              <w:t>南京万瑞环境科技有限公司</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3A311">
            <w:pPr>
              <w:ind w:firstLine="0" w:firstLineChars="0"/>
              <w:jc w:val="center"/>
              <w:rPr>
                <w:rFonts w:ascii="Times New Roman" w:hAnsi="Times New Roman" w:cs="Times New Roman"/>
                <w:color w:val="000000"/>
              </w:rPr>
            </w:pPr>
            <w:r>
              <w:rPr>
                <w:rFonts w:ascii="Times New Roman" w:hAnsi="Times New Roman" w:cs="Times New Roman"/>
                <w:color w:val="000000"/>
              </w:rPr>
              <w:t>工程师</w:t>
            </w:r>
          </w:p>
        </w:tc>
        <w:tc>
          <w:tcPr>
            <w:tcW w:w="2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38689">
            <w:pPr>
              <w:ind w:firstLine="0" w:firstLineChars="0"/>
              <w:jc w:val="center"/>
              <w:rPr>
                <w:rFonts w:ascii="Times New Roman" w:hAnsi="Times New Roman" w:cs="Times New Roman"/>
                <w:color w:val="000000"/>
              </w:rPr>
            </w:pPr>
            <w:r>
              <w:rPr>
                <w:rFonts w:ascii="Times New Roman" w:hAnsi="Times New Roman" w:cs="Times New Roman"/>
              </w:rPr>
              <w:t>标准技术编制</w:t>
            </w:r>
          </w:p>
        </w:tc>
      </w:tr>
      <w:tr w14:paraId="059E2B9F">
        <w:tblPrEx>
          <w:tblCellMar>
            <w:top w:w="0" w:type="dxa"/>
            <w:left w:w="108" w:type="dxa"/>
            <w:bottom w:w="0" w:type="dxa"/>
            <w:right w:w="108" w:type="dxa"/>
          </w:tblCellMar>
        </w:tblPrEx>
        <w:trPr>
          <w:trHeight w:val="397" w:hRule="atLeast"/>
          <w:jc w:val="center"/>
        </w:trPr>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EB1F7">
            <w:pPr>
              <w:ind w:firstLine="0" w:firstLineChars="0"/>
              <w:jc w:val="center"/>
              <w:rPr>
                <w:rFonts w:ascii="Times New Roman" w:hAnsi="Times New Roman" w:cs="Times New Roman"/>
                <w:color w:val="000000"/>
              </w:rPr>
            </w:pPr>
            <w:r>
              <w:rPr>
                <w:rFonts w:ascii="Times New Roman" w:hAnsi="Times New Roman" w:cs="Times New Roman"/>
                <w:color w:val="000000"/>
              </w:rPr>
              <w:t>10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E2F97">
            <w:pPr>
              <w:ind w:firstLine="0" w:firstLineChars="0"/>
              <w:jc w:val="center"/>
              <w:rPr>
                <w:rFonts w:ascii="Times New Roman" w:hAnsi="Times New Roman" w:cs="Times New Roman"/>
                <w:color w:val="000000"/>
              </w:rPr>
            </w:pPr>
            <w:r>
              <w:rPr>
                <w:rFonts w:ascii="Times New Roman" w:hAnsi="Times New Roman" w:cs="Times New Roman"/>
                <w:color w:val="000000"/>
              </w:rPr>
              <w:t>陈文文</w:t>
            </w:r>
          </w:p>
        </w:tc>
        <w:tc>
          <w:tcPr>
            <w:tcW w:w="2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48C0C">
            <w:pPr>
              <w:ind w:firstLine="0" w:firstLineChars="0"/>
              <w:jc w:val="center"/>
              <w:rPr>
                <w:rFonts w:ascii="Times New Roman" w:hAnsi="Times New Roman" w:cs="Times New Roman"/>
                <w:color w:val="000000"/>
              </w:rPr>
            </w:pPr>
            <w:r>
              <w:rPr>
                <w:rFonts w:ascii="Times New Roman" w:hAnsi="Times New Roman" w:cs="Times New Roman"/>
              </w:rPr>
              <w:t>南京万瑞环境科技有限公司</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D7A2F">
            <w:pPr>
              <w:ind w:firstLine="0" w:firstLineChars="0"/>
              <w:jc w:val="center"/>
              <w:rPr>
                <w:rFonts w:ascii="Times New Roman" w:hAnsi="Times New Roman" w:cs="Times New Roman"/>
                <w:color w:val="000000"/>
              </w:rPr>
            </w:pPr>
            <w:r>
              <w:rPr>
                <w:rFonts w:ascii="Times New Roman" w:hAnsi="Times New Roman" w:cs="Times New Roman"/>
                <w:color w:val="000000"/>
              </w:rPr>
              <w:t>工程师</w:t>
            </w:r>
          </w:p>
        </w:tc>
        <w:tc>
          <w:tcPr>
            <w:tcW w:w="2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51E09">
            <w:pPr>
              <w:ind w:firstLine="0" w:firstLineChars="0"/>
              <w:jc w:val="center"/>
              <w:rPr>
                <w:rFonts w:ascii="Times New Roman" w:hAnsi="Times New Roman" w:cs="Times New Roman"/>
                <w:color w:val="000000"/>
              </w:rPr>
            </w:pPr>
            <w:r>
              <w:rPr>
                <w:rFonts w:ascii="Times New Roman" w:hAnsi="Times New Roman" w:cs="Times New Roman"/>
              </w:rPr>
              <w:t>标准技术编制</w:t>
            </w:r>
          </w:p>
        </w:tc>
      </w:tr>
      <w:tr w14:paraId="493BA221">
        <w:tblPrEx>
          <w:tblCellMar>
            <w:top w:w="0" w:type="dxa"/>
            <w:left w:w="108" w:type="dxa"/>
            <w:bottom w:w="0" w:type="dxa"/>
            <w:right w:w="108" w:type="dxa"/>
          </w:tblCellMar>
        </w:tblPrEx>
        <w:trPr>
          <w:trHeight w:val="397" w:hRule="atLeast"/>
          <w:jc w:val="center"/>
        </w:trPr>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C18E7">
            <w:pPr>
              <w:ind w:firstLine="0" w:firstLineChars="0"/>
              <w:jc w:val="center"/>
              <w:rPr>
                <w:rFonts w:ascii="Times New Roman" w:hAnsi="Times New Roman" w:cs="Times New Roman"/>
              </w:rPr>
            </w:pPr>
            <w:r>
              <w:rPr>
                <w:rFonts w:ascii="Times New Roman" w:hAnsi="Times New Roman" w:cs="Times New Roman"/>
              </w:rPr>
              <w:t>11</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41ADB">
            <w:pPr>
              <w:ind w:firstLine="0" w:firstLineChars="0"/>
              <w:jc w:val="center"/>
              <w:rPr>
                <w:rFonts w:ascii="Times New Roman" w:hAnsi="Times New Roman" w:cs="Times New Roman"/>
              </w:rPr>
            </w:pPr>
            <w:r>
              <w:rPr>
                <w:rFonts w:ascii="Times New Roman" w:hAnsi="Times New Roman" w:cs="Times New Roman"/>
              </w:rPr>
              <w:t>江婷婷</w:t>
            </w:r>
          </w:p>
        </w:tc>
        <w:tc>
          <w:tcPr>
            <w:tcW w:w="2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6FB3B">
            <w:pPr>
              <w:ind w:firstLine="0" w:firstLineChars="0"/>
              <w:jc w:val="center"/>
              <w:rPr>
                <w:rFonts w:ascii="Times New Roman" w:hAnsi="Times New Roman" w:cs="Times New Roman"/>
              </w:rPr>
            </w:pPr>
            <w:r>
              <w:rPr>
                <w:rFonts w:ascii="Times New Roman" w:hAnsi="Times New Roman" w:cs="Times New Roman"/>
              </w:rPr>
              <w:t>南京万瑞环境科技有限公司</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0DEB4">
            <w:pPr>
              <w:ind w:firstLine="0" w:firstLineChars="0"/>
              <w:jc w:val="center"/>
              <w:rPr>
                <w:rFonts w:ascii="Times New Roman" w:hAnsi="Times New Roman" w:cs="Times New Roman"/>
              </w:rPr>
            </w:pPr>
            <w:r>
              <w:rPr>
                <w:rFonts w:ascii="Times New Roman" w:hAnsi="Times New Roman" w:cs="Times New Roman"/>
              </w:rPr>
              <w:t>常务副总</w:t>
            </w:r>
          </w:p>
        </w:tc>
        <w:tc>
          <w:tcPr>
            <w:tcW w:w="2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C51D2">
            <w:pPr>
              <w:ind w:firstLine="0" w:firstLineChars="0"/>
              <w:jc w:val="center"/>
              <w:rPr>
                <w:rFonts w:ascii="Times New Roman" w:hAnsi="Times New Roman" w:cs="Times New Roman"/>
              </w:rPr>
            </w:pPr>
            <w:r>
              <w:rPr>
                <w:rFonts w:ascii="Times New Roman" w:hAnsi="Times New Roman" w:cs="Times New Roman"/>
              </w:rPr>
              <w:t>政策指导、统筹协调</w:t>
            </w:r>
          </w:p>
        </w:tc>
      </w:tr>
      <w:tr w14:paraId="54007095">
        <w:tblPrEx>
          <w:tblCellMar>
            <w:top w:w="0" w:type="dxa"/>
            <w:left w:w="108" w:type="dxa"/>
            <w:bottom w:w="0" w:type="dxa"/>
            <w:right w:w="108" w:type="dxa"/>
          </w:tblCellMar>
        </w:tblPrEx>
        <w:trPr>
          <w:trHeight w:val="397" w:hRule="atLeast"/>
          <w:jc w:val="center"/>
        </w:trPr>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7B8B6">
            <w:pPr>
              <w:ind w:firstLine="0" w:firstLineChars="0"/>
              <w:jc w:val="center"/>
              <w:rPr>
                <w:rFonts w:ascii="Times New Roman" w:hAnsi="Times New Roman" w:cs="Times New Roman"/>
              </w:rPr>
            </w:pPr>
            <w:r>
              <w:rPr>
                <w:rFonts w:ascii="Times New Roman" w:hAnsi="Times New Roman" w:cs="Times New Roman"/>
              </w:rPr>
              <w:t>12</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5E718">
            <w:pPr>
              <w:ind w:firstLine="0" w:firstLineChars="0"/>
              <w:jc w:val="center"/>
              <w:rPr>
                <w:rFonts w:ascii="Times New Roman" w:hAnsi="Times New Roman" w:cs="Times New Roman"/>
              </w:rPr>
            </w:pPr>
            <w:r>
              <w:rPr>
                <w:rFonts w:ascii="Times New Roman" w:hAnsi="Times New Roman" w:cs="Times New Roman"/>
              </w:rPr>
              <w:t>魏锋</w:t>
            </w:r>
          </w:p>
        </w:tc>
        <w:tc>
          <w:tcPr>
            <w:tcW w:w="2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F80C7">
            <w:pPr>
              <w:ind w:firstLine="0" w:firstLineChars="0"/>
              <w:jc w:val="center"/>
              <w:rPr>
                <w:rFonts w:ascii="Times New Roman" w:hAnsi="Times New Roman" w:cs="Times New Roman"/>
              </w:rPr>
            </w:pPr>
            <w:r>
              <w:rPr>
                <w:rFonts w:ascii="Times New Roman" w:hAnsi="Times New Roman" w:cs="Times New Roman"/>
              </w:rPr>
              <w:t>南京万瑞环境科技有限公司</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C0BE9">
            <w:pPr>
              <w:ind w:firstLine="0" w:firstLineChars="0"/>
              <w:jc w:val="center"/>
              <w:rPr>
                <w:rFonts w:ascii="Times New Roman" w:hAnsi="Times New Roman" w:cs="Times New Roman"/>
              </w:rPr>
            </w:pPr>
            <w:r>
              <w:rPr>
                <w:rFonts w:ascii="Times New Roman" w:hAnsi="Times New Roman" w:cs="Times New Roman"/>
              </w:rPr>
              <w:t>总工</w:t>
            </w:r>
          </w:p>
        </w:tc>
        <w:tc>
          <w:tcPr>
            <w:tcW w:w="2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1DDA2">
            <w:pPr>
              <w:ind w:firstLine="0" w:firstLineChars="0"/>
              <w:jc w:val="center"/>
              <w:rPr>
                <w:rFonts w:ascii="Times New Roman" w:hAnsi="Times New Roman" w:cs="Times New Roman"/>
              </w:rPr>
            </w:pPr>
            <w:r>
              <w:rPr>
                <w:rFonts w:ascii="Times New Roman" w:hAnsi="Times New Roman" w:cs="Times New Roman"/>
              </w:rPr>
              <w:t>标准技术编制</w:t>
            </w:r>
          </w:p>
        </w:tc>
      </w:tr>
      <w:tr w14:paraId="662738BD">
        <w:tblPrEx>
          <w:tblCellMar>
            <w:top w:w="0" w:type="dxa"/>
            <w:left w:w="108" w:type="dxa"/>
            <w:bottom w:w="0" w:type="dxa"/>
            <w:right w:w="108" w:type="dxa"/>
          </w:tblCellMar>
        </w:tblPrEx>
        <w:trPr>
          <w:trHeight w:val="397" w:hRule="atLeast"/>
          <w:jc w:val="center"/>
        </w:trPr>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BF113">
            <w:pPr>
              <w:ind w:firstLine="0" w:firstLineChars="0"/>
              <w:jc w:val="center"/>
              <w:rPr>
                <w:rFonts w:ascii="Times New Roman" w:hAnsi="Times New Roman" w:cs="Times New Roman"/>
              </w:rPr>
            </w:pPr>
            <w:r>
              <w:rPr>
                <w:rFonts w:ascii="Times New Roman" w:hAnsi="Times New Roman" w:cs="Times New Roman"/>
              </w:rPr>
              <w:t>13</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C43CB">
            <w:pPr>
              <w:ind w:firstLine="0" w:firstLineChars="0"/>
              <w:jc w:val="center"/>
              <w:rPr>
                <w:rFonts w:ascii="Times New Roman" w:hAnsi="Times New Roman" w:cs="Times New Roman"/>
              </w:rPr>
            </w:pPr>
            <w:r>
              <w:rPr>
                <w:rFonts w:ascii="Times New Roman" w:hAnsi="Times New Roman" w:cs="Times New Roman"/>
              </w:rPr>
              <w:t>孙麒</w:t>
            </w:r>
          </w:p>
        </w:tc>
        <w:tc>
          <w:tcPr>
            <w:tcW w:w="2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166B6">
            <w:pPr>
              <w:ind w:firstLine="0" w:firstLineChars="0"/>
              <w:jc w:val="center"/>
              <w:rPr>
                <w:rFonts w:ascii="Times New Roman" w:hAnsi="Times New Roman" w:cs="Times New Roman"/>
              </w:rPr>
            </w:pPr>
            <w:r>
              <w:rPr>
                <w:rFonts w:ascii="Times New Roman" w:hAnsi="Times New Roman" w:cs="Times New Roman"/>
              </w:rPr>
              <w:t>南京万瑞环境科技有限公司</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E3526">
            <w:pPr>
              <w:ind w:firstLine="0" w:firstLineChars="0"/>
              <w:jc w:val="center"/>
              <w:rPr>
                <w:rFonts w:ascii="Times New Roman" w:hAnsi="Times New Roman" w:cs="Times New Roman"/>
              </w:rPr>
            </w:pPr>
            <w:r>
              <w:rPr>
                <w:rFonts w:ascii="Times New Roman" w:hAnsi="Times New Roman" w:cs="Times New Roman"/>
              </w:rPr>
              <w:t>工程师</w:t>
            </w:r>
          </w:p>
        </w:tc>
        <w:tc>
          <w:tcPr>
            <w:tcW w:w="2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9D543">
            <w:pPr>
              <w:ind w:firstLine="0" w:firstLineChars="0"/>
              <w:jc w:val="center"/>
              <w:rPr>
                <w:rFonts w:ascii="Times New Roman" w:hAnsi="Times New Roman" w:cs="Times New Roman"/>
              </w:rPr>
            </w:pPr>
            <w:r>
              <w:rPr>
                <w:rFonts w:ascii="Times New Roman" w:hAnsi="Times New Roman" w:cs="Times New Roman"/>
              </w:rPr>
              <w:t>标准技术编制</w:t>
            </w:r>
          </w:p>
        </w:tc>
      </w:tr>
      <w:tr w14:paraId="574F9019">
        <w:tblPrEx>
          <w:tblCellMar>
            <w:top w:w="0" w:type="dxa"/>
            <w:left w:w="108" w:type="dxa"/>
            <w:bottom w:w="0" w:type="dxa"/>
            <w:right w:w="108" w:type="dxa"/>
          </w:tblCellMar>
        </w:tblPrEx>
        <w:trPr>
          <w:trHeight w:val="397" w:hRule="atLeast"/>
          <w:jc w:val="center"/>
        </w:trPr>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89CDB">
            <w:pPr>
              <w:ind w:firstLine="0" w:firstLineChars="0"/>
              <w:jc w:val="center"/>
              <w:rPr>
                <w:rFonts w:ascii="Times New Roman" w:hAnsi="Times New Roman" w:cs="Times New Roman"/>
              </w:rPr>
            </w:pPr>
            <w:r>
              <w:rPr>
                <w:rFonts w:ascii="Times New Roman" w:hAnsi="Times New Roman" w:cs="Times New Roman"/>
              </w:rPr>
              <w:t>14</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62A25">
            <w:pPr>
              <w:ind w:firstLine="0" w:firstLineChars="0"/>
              <w:jc w:val="center"/>
              <w:rPr>
                <w:rFonts w:ascii="Times New Roman" w:hAnsi="Times New Roman" w:cs="Times New Roman"/>
              </w:rPr>
            </w:pPr>
            <w:r>
              <w:rPr>
                <w:rFonts w:ascii="Times New Roman" w:hAnsi="Times New Roman" w:cs="Times New Roman"/>
              </w:rPr>
              <w:t>黄立平</w:t>
            </w:r>
          </w:p>
        </w:tc>
        <w:tc>
          <w:tcPr>
            <w:tcW w:w="2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B83D8">
            <w:pPr>
              <w:ind w:firstLine="0" w:firstLineChars="0"/>
              <w:jc w:val="center"/>
              <w:rPr>
                <w:rFonts w:ascii="Times New Roman" w:hAnsi="Times New Roman" w:cs="Times New Roman"/>
              </w:rPr>
            </w:pPr>
            <w:r>
              <w:rPr>
                <w:rFonts w:ascii="Times New Roman" w:hAnsi="Times New Roman" w:cs="Times New Roman"/>
              </w:rPr>
              <w:t>南京万瑞环境科技有限公司</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DA401">
            <w:pPr>
              <w:ind w:firstLine="0" w:firstLineChars="0"/>
              <w:jc w:val="center"/>
              <w:rPr>
                <w:rFonts w:ascii="Times New Roman" w:hAnsi="Times New Roman" w:cs="Times New Roman"/>
              </w:rPr>
            </w:pPr>
            <w:r>
              <w:rPr>
                <w:rFonts w:ascii="Times New Roman" w:hAnsi="Times New Roman" w:cs="Times New Roman"/>
              </w:rPr>
              <w:t>工程师</w:t>
            </w:r>
          </w:p>
        </w:tc>
        <w:tc>
          <w:tcPr>
            <w:tcW w:w="2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96620">
            <w:pPr>
              <w:ind w:firstLine="0" w:firstLineChars="0"/>
              <w:jc w:val="center"/>
              <w:rPr>
                <w:rFonts w:ascii="Times New Roman" w:hAnsi="Times New Roman" w:cs="Times New Roman"/>
              </w:rPr>
            </w:pPr>
            <w:r>
              <w:rPr>
                <w:rFonts w:ascii="Times New Roman" w:hAnsi="Times New Roman" w:cs="Times New Roman"/>
              </w:rPr>
              <w:t>标准技术编制</w:t>
            </w:r>
          </w:p>
        </w:tc>
      </w:tr>
      <w:tr w14:paraId="16FCF5F7">
        <w:tblPrEx>
          <w:tblCellMar>
            <w:top w:w="0" w:type="dxa"/>
            <w:left w:w="108" w:type="dxa"/>
            <w:bottom w:w="0" w:type="dxa"/>
            <w:right w:w="108" w:type="dxa"/>
          </w:tblCellMar>
        </w:tblPrEx>
        <w:trPr>
          <w:trHeight w:val="397" w:hRule="atLeast"/>
          <w:jc w:val="center"/>
        </w:trPr>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7EAF2">
            <w:pPr>
              <w:ind w:firstLine="0" w:firstLineChars="0"/>
              <w:jc w:val="center"/>
              <w:rPr>
                <w:rFonts w:ascii="Times New Roman" w:hAnsi="Times New Roman" w:cs="Times New Roman"/>
              </w:rPr>
            </w:pPr>
            <w:r>
              <w:rPr>
                <w:rFonts w:ascii="Times New Roman" w:hAnsi="Times New Roman" w:cs="Times New Roman"/>
              </w:rPr>
              <w:t>15</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D13EB">
            <w:pPr>
              <w:ind w:firstLine="0" w:firstLineChars="0"/>
              <w:jc w:val="center"/>
              <w:rPr>
                <w:rFonts w:ascii="Times New Roman" w:hAnsi="Times New Roman" w:cs="Times New Roman"/>
              </w:rPr>
            </w:pPr>
            <w:r>
              <w:rPr>
                <w:rFonts w:ascii="Times New Roman" w:hAnsi="Times New Roman" w:cs="Times New Roman"/>
              </w:rPr>
              <w:t>史武杰</w:t>
            </w:r>
          </w:p>
        </w:tc>
        <w:tc>
          <w:tcPr>
            <w:tcW w:w="2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1D538">
            <w:pPr>
              <w:ind w:firstLine="0" w:firstLineChars="0"/>
              <w:jc w:val="center"/>
              <w:rPr>
                <w:rFonts w:ascii="Times New Roman" w:hAnsi="Times New Roman" w:cs="Times New Roman"/>
              </w:rPr>
            </w:pPr>
            <w:r>
              <w:rPr>
                <w:rFonts w:ascii="Times New Roman" w:hAnsi="Times New Roman" w:cs="Times New Roman"/>
              </w:rPr>
              <w:t>南京万瑞环境科技有限公司</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D9DB0">
            <w:pPr>
              <w:ind w:firstLine="0" w:firstLineChars="0"/>
              <w:jc w:val="center"/>
              <w:rPr>
                <w:rFonts w:ascii="Times New Roman" w:hAnsi="Times New Roman" w:cs="Times New Roman"/>
              </w:rPr>
            </w:pPr>
            <w:r>
              <w:rPr>
                <w:rFonts w:ascii="Times New Roman" w:hAnsi="Times New Roman" w:cs="Times New Roman"/>
              </w:rPr>
              <w:t>工程师</w:t>
            </w:r>
          </w:p>
        </w:tc>
        <w:tc>
          <w:tcPr>
            <w:tcW w:w="2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72254">
            <w:pPr>
              <w:ind w:firstLine="0" w:firstLineChars="0"/>
              <w:jc w:val="center"/>
              <w:rPr>
                <w:rFonts w:ascii="Times New Roman" w:hAnsi="Times New Roman" w:cs="Times New Roman"/>
              </w:rPr>
            </w:pPr>
            <w:r>
              <w:rPr>
                <w:rFonts w:ascii="Times New Roman" w:hAnsi="Times New Roman" w:cs="Times New Roman"/>
              </w:rPr>
              <w:t>标准技术编制</w:t>
            </w:r>
          </w:p>
        </w:tc>
      </w:tr>
      <w:tr w14:paraId="5268F4FC">
        <w:tblPrEx>
          <w:tblCellMar>
            <w:top w:w="0" w:type="dxa"/>
            <w:left w:w="108" w:type="dxa"/>
            <w:bottom w:w="0" w:type="dxa"/>
            <w:right w:w="108" w:type="dxa"/>
          </w:tblCellMar>
        </w:tblPrEx>
        <w:trPr>
          <w:trHeight w:val="397" w:hRule="atLeast"/>
          <w:jc w:val="center"/>
        </w:trPr>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4CB8B">
            <w:pPr>
              <w:ind w:firstLine="0" w:firstLineChars="0"/>
              <w:jc w:val="center"/>
              <w:rPr>
                <w:rFonts w:ascii="Times New Roman" w:hAnsi="Times New Roman" w:cs="Times New Roman"/>
              </w:rPr>
            </w:pPr>
            <w:r>
              <w:rPr>
                <w:rFonts w:ascii="Times New Roman" w:hAnsi="Times New Roman" w:cs="Times New Roman"/>
              </w:rPr>
              <w:t>16</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1398E">
            <w:pPr>
              <w:ind w:firstLine="0" w:firstLineChars="0"/>
              <w:jc w:val="center"/>
              <w:rPr>
                <w:rFonts w:ascii="Times New Roman" w:hAnsi="Times New Roman" w:cs="Times New Roman"/>
              </w:rPr>
            </w:pPr>
            <w:r>
              <w:rPr>
                <w:rFonts w:ascii="Times New Roman" w:hAnsi="Times New Roman" w:cs="Times New Roman"/>
              </w:rPr>
              <w:t>朱民波</w:t>
            </w:r>
          </w:p>
        </w:tc>
        <w:tc>
          <w:tcPr>
            <w:tcW w:w="2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A0748">
            <w:pPr>
              <w:ind w:firstLine="0" w:firstLineChars="0"/>
              <w:jc w:val="center"/>
              <w:rPr>
                <w:rFonts w:ascii="Times New Roman" w:hAnsi="Times New Roman" w:cs="Times New Roman"/>
              </w:rPr>
            </w:pPr>
            <w:r>
              <w:rPr>
                <w:rFonts w:ascii="Times New Roman" w:hAnsi="Times New Roman" w:cs="Times New Roman"/>
              </w:rPr>
              <w:t>南京万瑞环境科技有限公司</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61C90">
            <w:pPr>
              <w:ind w:firstLine="0" w:firstLineChars="0"/>
              <w:jc w:val="center"/>
              <w:rPr>
                <w:rFonts w:ascii="Times New Roman" w:hAnsi="Times New Roman" w:cs="Times New Roman"/>
              </w:rPr>
            </w:pPr>
            <w:r>
              <w:rPr>
                <w:rFonts w:ascii="Times New Roman" w:hAnsi="Times New Roman" w:cs="Times New Roman"/>
              </w:rPr>
              <w:t>建造师</w:t>
            </w:r>
          </w:p>
        </w:tc>
        <w:tc>
          <w:tcPr>
            <w:tcW w:w="2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29E20">
            <w:pPr>
              <w:ind w:firstLine="0" w:firstLineChars="0"/>
              <w:jc w:val="center"/>
              <w:rPr>
                <w:rFonts w:ascii="Times New Roman" w:hAnsi="Times New Roman" w:cs="Times New Roman"/>
              </w:rPr>
            </w:pPr>
            <w:r>
              <w:rPr>
                <w:rFonts w:ascii="Times New Roman" w:hAnsi="Times New Roman" w:cs="Times New Roman"/>
              </w:rPr>
              <w:t>标准技术编制</w:t>
            </w:r>
          </w:p>
        </w:tc>
      </w:tr>
      <w:tr w14:paraId="1DE7A888">
        <w:tblPrEx>
          <w:tblCellMar>
            <w:top w:w="0" w:type="dxa"/>
            <w:left w:w="108" w:type="dxa"/>
            <w:bottom w:w="0" w:type="dxa"/>
            <w:right w:w="108" w:type="dxa"/>
          </w:tblCellMar>
        </w:tblPrEx>
        <w:trPr>
          <w:trHeight w:val="397" w:hRule="atLeast"/>
          <w:jc w:val="center"/>
        </w:trPr>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B4CB4">
            <w:pPr>
              <w:ind w:firstLine="0" w:firstLineChars="0"/>
              <w:jc w:val="center"/>
              <w:rPr>
                <w:rFonts w:ascii="Times New Roman" w:hAnsi="Times New Roman" w:cs="Times New Roman"/>
              </w:rPr>
            </w:pPr>
            <w:r>
              <w:rPr>
                <w:rFonts w:ascii="Times New Roman" w:hAnsi="Times New Roman" w:cs="Times New Roman"/>
              </w:rPr>
              <w:t>17</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A511C">
            <w:pPr>
              <w:ind w:firstLine="0" w:firstLineChars="0"/>
              <w:jc w:val="center"/>
              <w:rPr>
                <w:rFonts w:ascii="Times New Roman" w:hAnsi="Times New Roman" w:cs="Times New Roman"/>
              </w:rPr>
            </w:pPr>
            <w:r>
              <w:rPr>
                <w:rFonts w:ascii="Times New Roman" w:hAnsi="Times New Roman" w:cs="Times New Roman"/>
              </w:rPr>
              <w:t>李娜娜</w:t>
            </w:r>
          </w:p>
        </w:tc>
        <w:tc>
          <w:tcPr>
            <w:tcW w:w="2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67019">
            <w:pPr>
              <w:ind w:firstLine="0" w:firstLineChars="0"/>
              <w:jc w:val="center"/>
              <w:rPr>
                <w:rFonts w:ascii="Times New Roman" w:hAnsi="Times New Roman" w:cs="Times New Roman"/>
              </w:rPr>
            </w:pPr>
            <w:r>
              <w:rPr>
                <w:rFonts w:ascii="Times New Roman" w:hAnsi="Times New Roman" w:cs="Times New Roman"/>
              </w:rPr>
              <w:t>南京万瑞环境科技有限公司</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72927">
            <w:pPr>
              <w:ind w:firstLine="0" w:firstLineChars="0"/>
              <w:jc w:val="center"/>
              <w:rPr>
                <w:rFonts w:ascii="Times New Roman" w:hAnsi="Times New Roman" w:cs="Times New Roman"/>
              </w:rPr>
            </w:pPr>
            <w:r>
              <w:rPr>
                <w:rFonts w:ascii="Times New Roman" w:hAnsi="Times New Roman" w:cs="Times New Roman"/>
                <w:color w:val="000000"/>
              </w:rPr>
              <w:t>研究实习员</w:t>
            </w:r>
          </w:p>
        </w:tc>
        <w:tc>
          <w:tcPr>
            <w:tcW w:w="2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28E3D">
            <w:pPr>
              <w:ind w:firstLine="0" w:firstLineChars="0"/>
              <w:jc w:val="center"/>
              <w:rPr>
                <w:rFonts w:ascii="Times New Roman" w:hAnsi="Times New Roman" w:cs="Times New Roman"/>
              </w:rPr>
            </w:pPr>
            <w:r>
              <w:rPr>
                <w:rFonts w:ascii="Times New Roman" w:hAnsi="Times New Roman" w:cs="Times New Roman"/>
              </w:rPr>
              <w:t>标准技术编制</w:t>
            </w:r>
          </w:p>
        </w:tc>
      </w:tr>
      <w:tr w14:paraId="284C697A">
        <w:tblPrEx>
          <w:tblCellMar>
            <w:top w:w="0" w:type="dxa"/>
            <w:left w:w="108" w:type="dxa"/>
            <w:bottom w:w="0" w:type="dxa"/>
            <w:right w:w="108" w:type="dxa"/>
          </w:tblCellMar>
        </w:tblPrEx>
        <w:trPr>
          <w:trHeight w:val="397" w:hRule="atLeast"/>
          <w:jc w:val="center"/>
        </w:trPr>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9324F">
            <w:pPr>
              <w:ind w:firstLine="0" w:firstLineChars="0"/>
              <w:jc w:val="center"/>
              <w:rPr>
                <w:rFonts w:ascii="Times New Roman" w:hAnsi="Times New Roman" w:cs="Times New Roman"/>
              </w:rPr>
            </w:pPr>
            <w:r>
              <w:rPr>
                <w:rFonts w:ascii="Times New Roman" w:hAnsi="Times New Roman" w:cs="Times New Roman"/>
              </w:rPr>
              <w:t>18</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BF6C9">
            <w:pPr>
              <w:ind w:firstLine="0" w:firstLineChars="0"/>
              <w:jc w:val="center"/>
              <w:rPr>
                <w:rFonts w:ascii="Times New Roman" w:hAnsi="Times New Roman" w:cs="Times New Roman"/>
              </w:rPr>
            </w:pPr>
            <w:r>
              <w:rPr>
                <w:rFonts w:ascii="Times New Roman" w:hAnsi="Times New Roman" w:cs="Times New Roman"/>
              </w:rPr>
              <w:t>李昂</w:t>
            </w:r>
          </w:p>
        </w:tc>
        <w:tc>
          <w:tcPr>
            <w:tcW w:w="2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7610C">
            <w:pPr>
              <w:ind w:firstLine="0" w:firstLineChars="0"/>
              <w:jc w:val="center"/>
              <w:rPr>
                <w:rFonts w:ascii="Times New Roman" w:hAnsi="Times New Roman" w:cs="Times New Roman"/>
              </w:rPr>
            </w:pPr>
            <w:r>
              <w:rPr>
                <w:rFonts w:ascii="Times New Roman" w:hAnsi="Times New Roman" w:cs="Times New Roman"/>
              </w:rPr>
              <w:t>南京万瑞环境科技有限公司</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2F601">
            <w:pPr>
              <w:ind w:firstLine="0" w:firstLineChars="0"/>
              <w:jc w:val="center"/>
              <w:rPr>
                <w:rFonts w:ascii="Times New Roman" w:hAnsi="Times New Roman" w:cs="Times New Roman"/>
              </w:rPr>
            </w:pPr>
            <w:r>
              <w:rPr>
                <w:rFonts w:ascii="Times New Roman" w:hAnsi="Times New Roman" w:cs="Times New Roman"/>
                <w:color w:val="000000"/>
              </w:rPr>
              <w:t>研究实习员</w:t>
            </w:r>
          </w:p>
        </w:tc>
        <w:tc>
          <w:tcPr>
            <w:tcW w:w="2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46CBD">
            <w:pPr>
              <w:ind w:firstLine="0" w:firstLineChars="0"/>
              <w:jc w:val="center"/>
              <w:rPr>
                <w:rFonts w:ascii="Times New Roman" w:hAnsi="Times New Roman" w:cs="Times New Roman"/>
              </w:rPr>
            </w:pPr>
            <w:r>
              <w:rPr>
                <w:rFonts w:ascii="Times New Roman" w:hAnsi="Times New Roman" w:cs="Times New Roman"/>
              </w:rPr>
              <w:t>标准技术编制</w:t>
            </w:r>
          </w:p>
        </w:tc>
      </w:tr>
    </w:tbl>
    <w:p w14:paraId="1677267E">
      <w:pPr>
        <w:pStyle w:val="19"/>
        <w:rPr>
          <w:rFonts w:ascii="Times New Roman" w:hAnsi="Times New Roman" w:cs="Times New Roman"/>
          <w:sz w:val="28"/>
          <w:szCs w:val="28"/>
        </w:rPr>
      </w:pPr>
    </w:p>
    <w:p w14:paraId="740C79F3">
      <w:pPr>
        <w:pStyle w:val="18"/>
        <w:spacing w:line="360" w:lineRule="auto"/>
        <w:rPr>
          <w:rFonts w:ascii="Times New Roman" w:hAnsi="Times New Roman" w:eastAsia="黑体" w:cs="Times New Roman"/>
          <w:b w:val="0"/>
          <w:bCs w:val="0"/>
          <w:sz w:val="28"/>
          <w:szCs w:val="28"/>
        </w:rPr>
      </w:pPr>
      <w:bookmarkStart w:id="7" w:name="_Toc186557621"/>
      <w:r>
        <w:rPr>
          <w:rFonts w:ascii="Times New Roman" w:hAnsi="Times New Roman" w:eastAsia="黑体" w:cs="Times New Roman"/>
          <w:b w:val="0"/>
          <w:bCs w:val="0"/>
          <w:sz w:val="28"/>
          <w:szCs w:val="28"/>
        </w:rPr>
        <w:t>2 行业概况</w:t>
      </w:r>
      <w:bookmarkEnd w:id="7"/>
    </w:p>
    <w:p w14:paraId="1DAF58BD">
      <w:pPr>
        <w:pStyle w:val="23"/>
        <w:spacing w:line="360" w:lineRule="auto"/>
        <w:rPr>
          <w:rFonts w:ascii="Times New Roman" w:hAnsi="Times New Roman" w:eastAsia="黑体" w:cs="Times New Roman"/>
          <w:b w:val="0"/>
          <w:bCs w:val="0"/>
          <w:szCs w:val="28"/>
        </w:rPr>
      </w:pPr>
      <w:bookmarkStart w:id="8" w:name="_Toc186557622"/>
      <w:r>
        <w:rPr>
          <w:rFonts w:ascii="Times New Roman" w:hAnsi="Times New Roman" w:eastAsia="黑体" w:cs="Times New Roman"/>
          <w:b w:val="0"/>
          <w:bCs w:val="0"/>
          <w:szCs w:val="28"/>
        </w:rPr>
        <w:t>2.1 淡水养殖现状</w:t>
      </w:r>
      <w:bookmarkEnd w:id="8"/>
    </w:p>
    <w:p w14:paraId="6AEC0F11">
      <w:pPr>
        <w:widowControl/>
        <w:ind w:firstLine="560"/>
        <w:rPr>
          <w:rFonts w:ascii="Times New Roman" w:hAnsi="Times New Roman" w:cs="Times New Roman"/>
          <w:sz w:val="28"/>
          <w:szCs w:val="28"/>
        </w:rPr>
      </w:pPr>
      <w:r>
        <w:rPr>
          <w:rFonts w:ascii="Times New Roman" w:hAnsi="Times New Roman" w:cs="Times New Roman"/>
          <w:sz w:val="28"/>
          <w:szCs w:val="28"/>
        </w:rPr>
        <w:t>我国是水产养殖大国，改革开放以来，在“以养为主”的发展方针下，水产养殖业发展成绩斐然。2023年全国淡水水产养殖面积5409.73千公顷，淡水养殖总产量达到3530.85万吨，占全国水产品总量的49.6%，为解决城乡居民“吃鱼难”，丰富城乡居民“菜篮子”，保障优质动物蛋白供给，保护水生生物资源，促进渔业产业兴旺和渔民生活富裕作出了突出贡献。</w:t>
      </w:r>
    </w:p>
    <w:p w14:paraId="7D0AF928">
      <w:pPr>
        <w:widowControl/>
        <w:ind w:firstLine="560"/>
        <w:rPr>
          <w:rFonts w:ascii="Times New Roman" w:hAnsi="Times New Roman" w:cs="Times New Roman"/>
          <w:color w:val="000000"/>
          <w:sz w:val="28"/>
          <w:szCs w:val="28"/>
          <w:lang w:bidi="ar"/>
        </w:rPr>
      </w:pPr>
      <w:r>
        <w:rPr>
          <w:rFonts w:ascii="Times New Roman" w:hAnsi="Times New Roman" w:cs="Times New Roman"/>
          <w:sz w:val="28"/>
          <w:szCs w:val="28"/>
        </w:rPr>
        <w:t>江苏地处长江中下游，地跨东经116°21′～121°56′、北纬30°45′～35°08′，东临黄海，北接山东，西连安徽，东南与上海、浙江接壤，其中长江江苏段及其附属湖泊所构成的“江</w:t>
      </w:r>
      <w:r>
        <w:rPr>
          <w:rFonts w:hint="eastAsia" w:ascii="Times New Roman" w:hAnsi="Times New Roman" w:cs="Times New Roman"/>
          <w:sz w:val="28"/>
          <w:szCs w:val="28"/>
        </w:rPr>
        <w:t>—</w:t>
      </w:r>
      <w:r>
        <w:rPr>
          <w:rFonts w:ascii="Times New Roman" w:hAnsi="Times New Roman" w:cs="Times New Roman"/>
          <w:sz w:val="28"/>
          <w:szCs w:val="28"/>
        </w:rPr>
        <w:t>湖”复合生态系统，蕴含着丰富的淡水渔业种质资源。近年全省水产养殖面积稳定在898万亩，水产品总产量490万吨，渔业产值1774亿元，渔业经济总产值3597亿元，均位居全国前茅，其中淡水渔业产值1221亿元，连续多年位居全国第一。全省农业产值中渔业占22%，高于全国平均水平；全省渔民人均收入达2.98万元，居全国第一。为扛起“争当表率、争做示范、走在前列”的重大使命，引领全国渔业高质量发展作出了应有的贡献。</w:t>
      </w:r>
    </w:p>
    <w:p w14:paraId="290568A5">
      <w:pPr>
        <w:pStyle w:val="23"/>
        <w:spacing w:line="360" w:lineRule="auto"/>
        <w:rPr>
          <w:rFonts w:ascii="Times New Roman" w:hAnsi="Times New Roman" w:eastAsia="黑体" w:cs="Times New Roman"/>
          <w:b w:val="0"/>
          <w:bCs w:val="0"/>
          <w:szCs w:val="28"/>
        </w:rPr>
      </w:pPr>
      <w:bookmarkStart w:id="9" w:name="_Toc186557623"/>
      <w:r>
        <w:rPr>
          <w:rFonts w:ascii="Times New Roman" w:hAnsi="Times New Roman" w:eastAsia="黑体" w:cs="Times New Roman"/>
          <w:b w:val="0"/>
          <w:bCs w:val="0"/>
          <w:szCs w:val="28"/>
        </w:rPr>
        <w:t>2.2 行业发展趋势预测</w:t>
      </w:r>
      <w:bookmarkEnd w:id="9"/>
    </w:p>
    <w:p w14:paraId="4F8C582F">
      <w:pPr>
        <w:widowControl/>
        <w:ind w:firstLine="560"/>
        <w:jc w:val="left"/>
        <w:rPr>
          <w:rFonts w:ascii="Times New Roman" w:hAnsi="Times New Roman" w:cs="Times New Roman"/>
          <w:color w:val="000000"/>
          <w:sz w:val="28"/>
          <w:szCs w:val="28"/>
          <w:lang w:bidi="ar"/>
        </w:rPr>
      </w:pPr>
      <w:r>
        <w:rPr>
          <w:rFonts w:ascii="Times New Roman" w:hAnsi="Times New Roman" w:cs="Times New Roman"/>
          <w:color w:val="000000"/>
          <w:sz w:val="28"/>
          <w:szCs w:val="28"/>
          <w:lang w:bidi="ar"/>
        </w:rPr>
        <w:t>（1）数量质量并重。保障水产品供给仍将作为渔业发展的第一要务，稳住水产品安全有效供给基本盘，做到保数量、保多样、保质量。</w:t>
      </w:r>
    </w:p>
    <w:p w14:paraId="561FDF89">
      <w:pPr>
        <w:widowControl/>
        <w:ind w:firstLine="560"/>
        <w:jc w:val="left"/>
        <w:rPr>
          <w:rFonts w:ascii="Times New Roman" w:hAnsi="Times New Roman" w:cs="Times New Roman"/>
          <w:color w:val="000000"/>
          <w:sz w:val="28"/>
          <w:szCs w:val="28"/>
          <w:lang w:bidi="ar"/>
        </w:rPr>
      </w:pPr>
      <w:r>
        <w:rPr>
          <w:rFonts w:ascii="Times New Roman" w:hAnsi="Times New Roman" w:cs="Times New Roman"/>
          <w:color w:val="000000"/>
          <w:sz w:val="28"/>
          <w:szCs w:val="28"/>
          <w:lang w:bidi="ar"/>
        </w:rPr>
        <w:t>（2）绿色发展。坚持“绿水青山就是金山银山”的发展理念，将绿色作为产业发展的底色，改善水域生态环境。</w:t>
      </w:r>
    </w:p>
    <w:p w14:paraId="1FCF6A28">
      <w:pPr>
        <w:widowControl/>
        <w:ind w:firstLine="560"/>
        <w:jc w:val="left"/>
        <w:rPr>
          <w:rFonts w:ascii="Times New Roman" w:hAnsi="Times New Roman" w:cs="Times New Roman"/>
          <w:color w:val="000000"/>
          <w:sz w:val="28"/>
          <w:szCs w:val="28"/>
          <w:lang w:bidi="ar"/>
        </w:rPr>
      </w:pPr>
      <w:r>
        <w:rPr>
          <w:rFonts w:ascii="Times New Roman" w:hAnsi="Times New Roman" w:cs="Times New Roman"/>
          <w:color w:val="000000"/>
          <w:sz w:val="28"/>
          <w:szCs w:val="28"/>
          <w:lang w:bidi="ar"/>
        </w:rPr>
        <w:t>（3）创新驱动。科技创新仍将作为产业发展的战略支撑，聚焦突破关键技术、研发核心装备、推广智慧渔业、健全科研体系、强化技术服务等方面，引领渔业高质量发展。</w:t>
      </w:r>
    </w:p>
    <w:p w14:paraId="73283CC5">
      <w:pPr>
        <w:widowControl/>
        <w:ind w:firstLine="560"/>
        <w:jc w:val="left"/>
        <w:rPr>
          <w:rFonts w:ascii="Times New Roman" w:hAnsi="Times New Roman" w:cs="Times New Roman"/>
          <w:color w:val="000000"/>
          <w:sz w:val="28"/>
          <w:szCs w:val="28"/>
          <w:lang w:bidi="ar"/>
        </w:rPr>
      </w:pPr>
      <w:r>
        <w:rPr>
          <w:rFonts w:ascii="Times New Roman" w:hAnsi="Times New Roman" w:cs="Times New Roman"/>
          <w:color w:val="000000"/>
          <w:sz w:val="28"/>
          <w:szCs w:val="28"/>
          <w:lang w:bidi="ar"/>
        </w:rPr>
        <w:t>（4）夯实基础。政府将进一步加大投资力度，加快推进标准化池塘建设，完善道路、水电、尾水治理等配套设施，夯实渔业安全生产基础，提高池塘养殖综合生产能力、资源利用率、设施装备水平和可持续发展能力，助力水产养殖高质量发展。</w:t>
      </w:r>
    </w:p>
    <w:p w14:paraId="69B05344">
      <w:pPr>
        <w:pStyle w:val="18"/>
        <w:spacing w:line="360" w:lineRule="auto"/>
        <w:rPr>
          <w:rFonts w:ascii="Times New Roman" w:hAnsi="Times New Roman" w:eastAsia="黑体" w:cs="Times New Roman"/>
          <w:b w:val="0"/>
          <w:bCs w:val="0"/>
          <w:sz w:val="28"/>
          <w:szCs w:val="28"/>
        </w:rPr>
      </w:pPr>
      <w:bookmarkStart w:id="10" w:name="_Toc186557624"/>
      <w:bookmarkStart w:id="11" w:name="_Hlk168991393"/>
      <w:r>
        <w:rPr>
          <w:rFonts w:ascii="Times New Roman" w:hAnsi="Times New Roman" w:eastAsia="黑体" w:cs="Times New Roman"/>
          <w:b w:val="0"/>
          <w:bCs w:val="0"/>
          <w:sz w:val="28"/>
          <w:szCs w:val="28"/>
        </w:rPr>
        <w:t>3 标准制订的必要性分析</w:t>
      </w:r>
      <w:bookmarkEnd w:id="10"/>
    </w:p>
    <w:bookmarkEnd w:id="11"/>
    <w:p w14:paraId="2C7741BA">
      <w:pPr>
        <w:pStyle w:val="23"/>
        <w:spacing w:line="360" w:lineRule="auto"/>
        <w:rPr>
          <w:rFonts w:ascii="Times New Roman" w:hAnsi="Times New Roman" w:eastAsia="黑体" w:cs="Times New Roman"/>
          <w:b w:val="0"/>
          <w:bCs w:val="0"/>
          <w:szCs w:val="28"/>
        </w:rPr>
      </w:pPr>
      <w:bookmarkStart w:id="12" w:name="_Toc186557625"/>
      <w:r>
        <w:rPr>
          <w:rFonts w:ascii="Times New Roman" w:hAnsi="Times New Roman" w:eastAsia="黑体" w:cs="Times New Roman"/>
          <w:b w:val="0"/>
          <w:bCs w:val="0"/>
          <w:szCs w:val="28"/>
        </w:rPr>
        <w:t>3.1 国家和江苏省政府的要求</w:t>
      </w:r>
      <w:bookmarkEnd w:id="12"/>
    </w:p>
    <w:p w14:paraId="7621573B">
      <w:pPr>
        <w:ind w:firstLine="560"/>
        <w:rPr>
          <w:rFonts w:ascii="Times New Roman" w:hAnsi="Times New Roman" w:cs="Times New Roman"/>
          <w:sz w:val="28"/>
          <w:szCs w:val="28"/>
        </w:rPr>
      </w:pPr>
      <w:r>
        <w:rPr>
          <w:rFonts w:ascii="Times New Roman" w:hAnsi="Times New Roman" w:cs="Times New Roman"/>
          <w:sz w:val="28"/>
          <w:szCs w:val="28"/>
        </w:rPr>
        <w:t>强国必先强农，农强方能国强。近年来，党中央和国务院一直把“三农”问题作为党和政府工作的重中之重，出台了一系列促进农民增收、改善农民生活条件以及提高农业综合生产能力的农业、农村政策。党的二十大明确指出，要全面推进乡村振兴，坚持农业农村优先发展，加快建设农业强国，扎实推动乡村产业、人才、文化、生态、组织振兴；树立大食物观，构建多元化食物供给体系。</w:t>
      </w:r>
    </w:p>
    <w:p w14:paraId="781C6A64">
      <w:pPr>
        <w:ind w:firstLine="560"/>
        <w:rPr>
          <w:rFonts w:ascii="Times New Roman" w:hAnsi="Times New Roman" w:cs="Times New Roman"/>
          <w:sz w:val="28"/>
          <w:szCs w:val="28"/>
        </w:rPr>
      </w:pPr>
      <w:r>
        <w:rPr>
          <w:rFonts w:ascii="Times New Roman" w:hAnsi="Times New Roman" w:cs="Times New Roman"/>
          <w:sz w:val="28"/>
          <w:szCs w:val="28"/>
        </w:rPr>
        <w:t>渔业是农业农村经济的重要组成部分，对保障国家粮食安全和重要农产品有效供给、促进农民增收、服务生态文明建设和政治外交大局等具有重要作用。</w:t>
      </w:r>
      <w:r>
        <w:rPr>
          <w:rFonts w:ascii="Times New Roman" w:hAnsi="Times New Roman" w:cs="Times New Roman"/>
          <w:color w:val="000000"/>
          <w:sz w:val="28"/>
          <w:szCs w:val="28"/>
        </w:rPr>
        <w:t>经国务院批准，农业农村部等10部委于2019年联合印发了《关于加快推进水产养殖业绿色发展的若干意见》，要求大力实施池塘标准化改造，完善循环水和进排水处理设施。</w:t>
      </w:r>
      <w:r>
        <w:rPr>
          <w:rFonts w:ascii="Times New Roman" w:hAnsi="Times New Roman" w:cs="Times New Roman"/>
          <w:sz w:val="28"/>
          <w:szCs w:val="28"/>
        </w:rPr>
        <w:t>“十四五”时期，“三农”工作重心历史性转向全面推进乡村振兴，渔业进入加快推进高质量发展、争取尽早实现现代化的关键阶段，2021~2024年中央一号文件在</w:t>
      </w:r>
      <w:bookmarkStart w:id="13" w:name="_Hlk172107298"/>
      <w:r>
        <w:rPr>
          <w:rFonts w:ascii="Times New Roman" w:hAnsi="Times New Roman" w:cs="Times New Roman"/>
          <w:sz w:val="28"/>
          <w:szCs w:val="28"/>
        </w:rPr>
        <w:t>渔业产业发展方面先后提出：推进农业绿色发展，推进水产绿色健康养殖；稳定水产养殖面积，提升渔业发展质量，推进农业农村绿色发展；发展现代设施农业，推进水产养殖池塘改造升级，推进农业绿色发展；</w:t>
      </w:r>
      <w:bookmarkEnd w:id="13"/>
      <w:r>
        <w:rPr>
          <w:rFonts w:ascii="Times New Roman" w:hAnsi="Times New Roman" w:cs="Times New Roman"/>
          <w:sz w:val="28"/>
          <w:szCs w:val="28"/>
        </w:rPr>
        <w:t>持续打好农业农村污染治理攻坚战，整县推进农业面源污染综合防治。</w:t>
      </w:r>
    </w:p>
    <w:p w14:paraId="752A772F">
      <w:pPr>
        <w:ind w:firstLine="560"/>
        <w:rPr>
          <w:rFonts w:ascii="Times New Roman" w:hAnsi="Times New Roman" w:cs="Times New Roman"/>
          <w:sz w:val="28"/>
          <w:szCs w:val="28"/>
        </w:rPr>
      </w:pPr>
      <w:r>
        <w:rPr>
          <w:rFonts w:ascii="Times New Roman" w:hAnsi="Times New Roman" w:cs="Times New Roman"/>
          <w:sz w:val="28"/>
          <w:szCs w:val="28"/>
        </w:rPr>
        <w:t>为响应国家政策要求，江苏省政府于2020年印发了《关于加快推进渔业高质量发展的意见》，要求夯实渔业发展基础，加强渔区、渔村基础设施建设，完善道路、水电、通讯、安全等配套设施，改善生产生活环境。省政府于2022年印发了《关于加快推进池塘标准化改造促进渔业绿色循环发展的通知》，要求到2025年底，完成165.4万亩池塘标准化改造，实现池塘养殖产能稳步提升，尾水排放稳定达标，水产品有效供给，渔区生态环境进一步改善，并作为乡村生态振兴的重点内容，纳入地方“三农”工作重点目标任务。</w:t>
      </w:r>
      <w:r>
        <w:rPr>
          <w:rFonts w:ascii="Times New Roman" w:hAnsi="Times New Roman" w:cs="Times New Roman"/>
          <w:color w:val="000000"/>
          <w:sz w:val="28"/>
          <w:szCs w:val="28"/>
        </w:rPr>
        <w:t>江苏省农业农村厅于2023年印发了《关于加快池塘标准化改造</w:t>
      </w:r>
      <w:r>
        <w:rPr>
          <w:rFonts w:hint="eastAsia" w:ascii="Times New Roman" w:hAnsi="Times New Roman" w:cs="Times New Roman"/>
          <w:color w:val="000000"/>
          <w:sz w:val="28"/>
          <w:szCs w:val="28"/>
        </w:rPr>
        <w:t xml:space="preserve"> </w:t>
      </w:r>
      <w:r>
        <w:rPr>
          <w:rFonts w:ascii="Times New Roman" w:hAnsi="Times New Roman" w:cs="Times New Roman"/>
          <w:color w:val="000000"/>
          <w:sz w:val="28"/>
          <w:szCs w:val="28"/>
        </w:rPr>
        <w:t>全域推进渔业现代化建设的通知》，要求开展渔业现代化建设试点，打造全国标杆，助力江苏建成渔业现代化强省。同时在</w:t>
      </w:r>
      <w:r>
        <w:rPr>
          <w:rFonts w:ascii="Times New Roman" w:hAnsi="Times New Roman" w:cs="Times New Roman"/>
          <w:sz w:val="28"/>
          <w:szCs w:val="28"/>
        </w:rPr>
        <w:t>2021~2024年省政府一号文件均将渔业产业发展作为年度工作重点，具体为：优化完善渔业空间布局，支持渔业基础设施建设，提升农业绿色发展水平；稳定水产养殖面积，</w:t>
      </w:r>
      <w:bookmarkStart w:id="14" w:name="_Hlk172107829"/>
      <w:r>
        <w:rPr>
          <w:rFonts w:ascii="Times New Roman" w:hAnsi="Times New Roman" w:cs="Times New Roman"/>
          <w:sz w:val="28"/>
          <w:szCs w:val="28"/>
        </w:rPr>
        <w:t>推进渔业高质量发展</w:t>
      </w:r>
      <w:bookmarkEnd w:id="14"/>
      <w:r>
        <w:rPr>
          <w:rFonts w:ascii="Times New Roman" w:hAnsi="Times New Roman" w:cs="Times New Roman"/>
          <w:sz w:val="28"/>
          <w:szCs w:val="28"/>
        </w:rPr>
        <w:t>，提升农业农村绿色低碳发展水平；推进水产生态健康养殖，改造标准化池塘60.2万亩，推进农业绿色发展；推进水产生态健康养殖，实施养殖池塘标准化改造20万亩；推进农业绿色发展，强化池塘养殖尾水治理，实施池塘生态化改造。</w:t>
      </w:r>
    </w:p>
    <w:p w14:paraId="792B45D3">
      <w:pPr>
        <w:pStyle w:val="23"/>
        <w:spacing w:line="360" w:lineRule="auto"/>
        <w:rPr>
          <w:rFonts w:ascii="Times New Roman" w:hAnsi="Times New Roman" w:eastAsia="黑体" w:cs="Times New Roman"/>
          <w:b w:val="0"/>
          <w:bCs w:val="0"/>
          <w:szCs w:val="28"/>
        </w:rPr>
      </w:pPr>
      <w:bookmarkStart w:id="15" w:name="_Toc186557626"/>
      <w:r>
        <w:rPr>
          <w:rFonts w:ascii="Times New Roman" w:hAnsi="Times New Roman" w:eastAsia="黑体" w:cs="Times New Roman"/>
          <w:b w:val="0"/>
          <w:bCs w:val="0"/>
          <w:szCs w:val="28"/>
        </w:rPr>
        <w:t>3.2 行业发展的需要</w:t>
      </w:r>
      <w:bookmarkEnd w:id="15"/>
    </w:p>
    <w:p w14:paraId="0C22A452">
      <w:pPr>
        <w:ind w:firstLine="560"/>
        <w:rPr>
          <w:rFonts w:ascii="Times New Roman" w:hAnsi="Times New Roman" w:cs="Times New Roman"/>
          <w:sz w:val="28"/>
          <w:szCs w:val="28"/>
        </w:rPr>
      </w:pPr>
      <w:r>
        <w:rPr>
          <w:rFonts w:ascii="Times New Roman" w:hAnsi="Times New Roman" w:cs="Times New Roman"/>
          <w:sz w:val="28"/>
          <w:szCs w:val="28"/>
        </w:rPr>
        <w:t>依据《“十四五”全国渔业发展规划》、《全国池塘养殖尾水治理专项建设规划（2021-2035年）》以及《江苏省“十四五”渔业发展规划》等行业规划文件，我国的池塘大多数是20世纪80年代初通过发展商品鱼基地建设的，长期缺乏再投入，年久失修，普遍存在水净化设施设备不足、水资源利用效率低、池塘淤积、塘埂坍塌、排灌不畅、病害频发等问题，制约水产养殖业绿色可持续发展。当前我国池塘普遍缺乏有效的进排水设施，大约90％以上传统池塘没有养殖尾水处理设施，池塘养殖面临着环境污染和品质保障的双重压力。一方面外部水环境恶化，进水处理设施设备缺乏使得养殖用水质量难以保障，导致池塘水质恶化、病害多发、产量下降及经济效益下滑，并且为了防病，部分养殖户加大药物使用，由此增加水产品质量安全隐患。另一方面是养殖自身对环境的影响，池塘养殖换排水时间比较集中，缺乏处理设施的养殖尾水直排到外环境当中，容易造成河道底部淤泥沉积，引起藻类爆发性增殖，导致水体富营养化，影响水产养殖业的健康可持续发展。江苏省渔业发展也同样面临着“基础设施建设不完善”等挑战。</w:t>
      </w:r>
    </w:p>
    <w:p w14:paraId="28068A39">
      <w:pPr>
        <w:ind w:firstLine="560"/>
        <w:rPr>
          <w:rFonts w:ascii="Times New Roman" w:hAnsi="Times New Roman" w:cs="Times New Roman"/>
          <w:color w:val="000000"/>
          <w:sz w:val="28"/>
          <w:szCs w:val="28"/>
          <w:lang w:bidi="ar"/>
        </w:rPr>
      </w:pPr>
      <w:r>
        <w:rPr>
          <w:rFonts w:ascii="Times New Roman" w:hAnsi="Times New Roman" w:cs="Times New Roman"/>
          <w:sz w:val="28"/>
          <w:szCs w:val="28"/>
        </w:rPr>
        <w:t>综合政府和行业两个维度，池塘标准化改造工作是当前渔业高质量发展的关键，做好池塘标准化改造工作建立健全技术标准体系是前提。目前江苏省建立了由农业农村、发展改革、生态环境、财政、自然资源等多部门组成的工作机制，初步形成了齐抓共管、合力推进的工作格局；出台了《加快推进池塘标准化改造促进渔业绿色循环发展》、《池塘养殖尾水排放标准》等一系列规范文件，为全省养殖池塘高质量建、高质量管、高质量用提供了保障。但目前池塘标准化改造技术规范作为指导设计工作的规则性文件仍缺失，难以保障设计质量，使得建设标准良莠不齐。综合考虑淡水养殖池塘标准化改造面积占比达到90%，为此亟需开展《淡水池塘标准化建设改造技术规范》（以下简称《规范》）的编制工作，《规范》的提出是淡水池塘标准化建设改造标准体系的核心和基础，对于实现全省技术标准的统一、解决淡水池塘标准化“建什么、怎么建”的问题，以及与国家标准、行业标准、地方标准上下结合、相互衔接具有重要作用</w:t>
      </w:r>
      <w:r>
        <w:rPr>
          <w:rFonts w:ascii="Times New Roman" w:hAnsi="Times New Roman" w:cs="Times New Roman"/>
          <w:color w:val="000000"/>
          <w:sz w:val="28"/>
          <w:szCs w:val="28"/>
          <w:lang w:bidi="ar"/>
        </w:rPr>
        <w:t>。</w:t>
      </w:r>
    </w:p>
    <w:p w14:paraId="1DF17B89">
      <w:pPr>
        <w:pStyle w:val="18"/>
        <w:spacing w:line="360" w:lineRule="auto"/>
        <w:rPr>
          <w:rFonts w:ascii="Times New Roman" w:hAnsi="Times New Roman" w:eastAsia="黑体" w:cs="Times New Roman"/>
          <w:b w:val="0"/>
          <w:bCs w:val="0"/>
          <w:sz w:val="28"/>
          <w:szCs w:val="28"/>
        </w:rPr>
      </w:pPr>
      <w:bookmarkStart w:id="16" w:name="_Toc186557627"/>
      <w:bookmarkStart w:id="17" w:name="_Hlk168992653"/>
      <w:r>
        <w:rPr>
          <w:rFonts w:ascii="Times New Roman" w:hAnsi="Times New Roman" w:eastAsia="黑体" w:cs="Times New Roman"/>
          <w:b w:val="0"/>
          <w:bCs w:val="0"/>
          <w:sz w:val="28"/>
          <w:szCs w:val="28"/>
        </w:rPr>
        <w:t>4 标准制订的原则</w:t>
      </w:r>
      <w:bookmarkEnd w:id="16"/>
    </w:p>
    <w:p w14:paraId="541CED8B">
      <w:pPr>
        <w:pStyle w:val="23"/>
        <w:spacing w:line="360" w:lineRule="auto"/>
        <w:rPr>
          <w:rFonts w:ascii="Times New Roman" w:hAnsi="Times New Roman" w:eastAsia="黑体" w:cs="Times New Roman"/>
          <w:b w:val="0"/>
          <w:bCs w:val="0"/>
          <w:szCs w:val="28"/>
        </w:rPr>
      </w:pPr>
      <w:bookmarkStart w:id="18" w:name="_Toc186557628"/>
      <w:r>
        <w:rPr>
          <w:rFonts w:ascii="Times New Roman" w:hAnsi="Times New Roman" w:eastAsia="黑体" w:cs="Times New Roman"/>
          <w:b w:val="0"/>
          <w:bCs w:val="0"/>
          <w:szCs w:val="28"/>
        </w:rPr>
        <w:t>4.1 基本原则</w:t>
      </w:r>
      <w:bookmarkEnd w:id="18"/>
    </w:p>
    <w:bookmarkEnd w:id="17"/>
    <w:p w14:paraId="74D1BEDE">
      <w:pPr>
        <w:shd w:val="clear" w:color="auto" w:fill="auto"/>
        <w:autoSpaceDE/>
        <w:autoSpaceDN/>
        <w:ind w:firstLine="560"/>
        <w:rPr>
          <w:rFonts w:ascii="Times New Roman" w:hAnsi="Times New Roman" w:cs="Times New Roman"/>
          <w:kern w:val="2"/>
          <w:sz w:val="28"/>
          <w:szCs w:val="28"/>
        </w:rPr>
      </w:pPr>
      <w:r>
        <w:rPr>
          <w:rFonts w:ascii="Times New Roman" w:hAnsi="Times New Roman" w:cs="Times New Roman"/>
          <w:kern w:val="2"/>
          <w:sz w:val="28"/>
          <w:szCs w:val="28"/>
        </w:rPr>
        <w:t>合法性：严格贯彻国家有关方针、政策、法规和规章，严格执行强制性国家标准和行业标准，避免与正在制定或已经制定的其他农业或国家标准发生技术冲突。</w:t>
      </w:r>
    </w:p>
    <w:p w14:paraId="2D942E88">
      <w:pPr>
        <w:shd w:val="clear" w:color="auto" w:fill="auto"/>
        <w:autoSpaceDE/>
        <w:autoSpaceDN/>
        <w:ind w:firstLine="560"/>
        <w:rPr>
          <w:rFonts w:ascii="Times New Roman" w:hAnsi="Times New Roman" w:cs="Times New Roman"/>
          <w:kern w:val="2"/>
          <w:sz w:val="28"/>
          <w:szCs w:val="28"/>
        </w:rPr>
      </w:pPr>
      <w:r>
        <w:rPr>
          <w:rFonts w:ascii="Times New Roman" w:hAnsi="Times New Roman" w:cs="Times New Roman"/>
          <w:kern w:val="2"/>
          <w:sz w:val="28"/>
          <w:szCs w:val="28"/>
        </w:rPr>
        <w:t>科学性：结合国内生产管理规定及产业发展现状与趋势，编制过程中以反映科学技术的先进成果和先进经验，使各项技术指标满足要求，确保标准既能保持技术上的先进性和经济上的合理性。</w:t>
      </w:r>
    </w:p>
    <w:p w14:paraId="28C9CFD4">
      <w:pPr>
        <w:shd w:val="clear" w:color="auto" w:fill="auto"/>
        <w:autoSpaceDE/>
        <w:autoSpaceDN/>
        <w:ind w:firstLine="560"/>
        <w:rPr>
          <w:rFonts w:ascii="Times New Roman" w:hAnsi="Times New Roman" w:cs="Times New Roman"/>
          <w:kern w:val="2"/>
          <w:sz w:val="28"/>
          <w:szCs w:val="28"/>
        </w:rPr>
      </w:pPr>
      <w:r>
        <w:rPr>
          <w:rFonts w:ascii="Times New Roman" w:hAnsi="Times New Roman" w:cs="Times New Roman"/>
          <w:kern w:val="2"/>
          <w:sz w:val="28"/>
          <w:szCs w:val="28"/>
        </w:rPr>
        <w:t>实用性：团体标准的制订应充分考虑市场需求和实际应用情况，确保标准的实用性和可操作性，标准的内容应简明扼要、易于理解，方便用户使用。</w:t>
      </w:r>
    </w:p>
    <w:p w14:paraId="6136C93C">
      <w:pPr>
        <w:shd w:val="clear" w:color="auto" w:fill="auto"/>
        <w:autoSpaceDE/>
        <w:autoSpaceDN/>
        <w:ind w:firstLine="560"/>
        <w:rPr>
          <w:rFonts w:ascii="Times New Roman" w:hAnsi="Times New Roman" w:cs="Times New Roman"/>
          <w:kern w:val="2"/>
          <w:sz w:val="28"/>
          <w:szCs w:val="28"/>
        </w:rPr>
      </w:pPr>
      <w:r>
        <w:rPr>
          <w:rFonts w:ascii="Times New Roman" w:hAnsi="Times New Roman" w:cs="Times New Roman"/>
          <w:kern w:val="2"/>
          <w:sz w:val="28"/>
          <w:szCs w:val="28"/>
        </w:rPr>
        <w:t>规范性：编写规则及表述等要求主要依据《标准化工作导则 第1部分：标准化文件的结构和起草规则》（GB/T 1.1-2020）。标准的构成严谨合理，内容编排、层次划分等符合逻辑与规定。</w:t>
      </w:r>
    </w:p>
    <w:p w14:paraId="0DD2FF1B">
      <w:pPr>
        <w:shd w:val="clear" w:color="auto" w:fill="auto"/>
        <w:autoSpaceDE/>
        <w:autoSpaceDN/>
        <w:ind w:firstLine="0" w:firstLineChars="0"/>
        <w:outlineLvl w:val="1"/>
        <w:rPr>
          <w:rFonts w:ascii="Times New Roman" w:hAnsi="Times New Roman" w:eastAsia="黑体" w:cs="Times New Roman"/>
          <w:kern w:val="2"/>
          <w:sz w:val="28"/>
          <w:szCs w:val="28"/>
        </w:rPr>
      </w:pPr>
      <w:bookmarkStart w:id="19" w:name="_Toc144305316"/>
      <w:bookmarkStart w:id="20" w:name="_Toc186557629"/>
      <w:r>
        <w:rPr>
          <w:rFonts w:ascii="Times New Roman" w:hAnsi="Times New Roman" w:eastAsia="黑体" w:cs="Times New Roman"/>
          <w:kern w:val="2"/>
          <w:sz w:val="28"/>
          <w:szCs w:val="28"/>
        </w:rPr>
        <w:t>4.2编制依据</w:t>
      </w:r>
      <w:bookmarkEnd w:id="19"/>
      <w:bookmarkEnd w:id="20"/>
    </w:p>
    <w:p w14:paraId="72916F65">
      <w:pPr>
        <w:shd w:val="clear" w:color="auto" w:fill="auto"/>
        <w:autoSpaceDE/>
        <w:autoSpaceDN/>
        <w:ind w:firstLine="560"/>
        <w:rPr>
          <w:rFonts w:ascii="Times New Roman" w:hAnsi="Times New Roman" w:cs="Times New Roman"/>
          <w:kern w:val="2"/>
          <w:sz w:val="28"/>
          <w:szCs w:val="28"/>
        </w:rPr>
      </w:pPr>
      <w:bookmarkStart w:id="21" w:name="BookMark8"/>
      <w:bookmarkStart w:id="22" w:name="_Hlk87847914"/>
      <w:r>
        <w:rPr>
          <w:rFonts w:ascii="Times New Roman" w:hAnsi="Times New Roman" w:cs="Times New Roman"/>
          <w:kern w:val="2"/>
          <w:sz w:val="28"/>
          <w:szCs w:val="28"/>
        </w:rPr>
        <w:t>（1）《标准化工作导则 第1部分：标准化文件的结构和起草规则》（GB/T 1.1）；</w:t>
      </w:r>
    </w:p>
    <w:p w14:paraId="506B658F">
      <w:pPr>
        <w:shd w:val="clear" w:color="auto" w:fill="auto"/>
        <w:autoSpaceDE/>
        <w:autoSpaceDN/>
        <w:ind w:firstLine="560"/>
        <w:rPr>
          <w:rFonts w:ascii="Times New Roman" w:hAnsi="Times New Roman" w:cs="Times New Roman"/>
          <w:kern w:val="2"/>
          <w:sz w:val="28"/>
          <w:szCs w:val="28"/>
        </w:rPr>
      </w:pPr>
      <w:r>
        <w:rPr>
          <w:rFonts w:ascii="Times New Roman" w:hAnsi="Times New Roman" w:cs="Times New Roman"/>
          <w:kern w:val="2"/>
          <w:sz w:val="28"/>
          <w:szCs w:val="28"/>
        </w:rPr>
        <w:t>（2）《水产养殖场建设规范》（NYT3616）；</w:t>
      </w:r>
    </w:p>
    <w:p w14:paraId="43240022">
      <w:pPr>
        <w:shd w:val="clear" w:color="auto" w:fill="auto"/>
        <w:autoSpaceDE/>
        <w:autoSpaceDN/>
        <w:ind w:firstLine="560"/>
        <w:rPr>
          <w:rFonts w:ascii="Times New Roman" w:hAnsi="Times New Roman" w:cs="Times New Roman"/>
          <w:kern w:val="2"/>
          <w:sz w:val="28"/>
          <w:szCs w:val="28"/>
        </w:rPr>
      </w:pPr>
      <w:r>
        <w:rPr>
          <w:rFonts w:ascii="Times New Roman" w:hAnsi="Times New Roman" w:cs="Times New Roman"/>
          <w:kern w:val="2"/>
          <w:sz w:val="28"/>
          <w:szCs w:val="28"/>
        </w:rPr>
        <w:t>（3）《池塘养殖尾水排放标准》（DB32/ 4043）；</w:t>
      </w:r>
    </w:p>
    <w:p w14:paraId="5725E261">
      <w:pPr>
        <w:shd w:val="clear" w:color="auto" w:fill="auto"/>
        <w:autoSpaceDE/>
        <w:autoSpaceDN/>
        <w:ind w:firstLine="560"/>
        <w:rPr>
          <w:rFonts w:ascii="Times New Roman" w:hAnsi="Times New Roman" w:cs="Times New Roman"/>
          <w:kern w:val="2"/>
          <w:sz w:val="28"/>
          <w:szCs w:val="28"/>
        </w:rPr>
      </w:pPr>
      <w:r>
        <w:rPr>
          <w:rFonts w:ascii="Times New Roman" w:hAnsi="Times New Roman" w:cs="Times New Roman"/>
          <w:kern w:val="2"/>
          <w:sz w:val="28"/>
          <w:szCs w:val="28"/>
        </w:rPr>
        <w:t>（4）《良好农业规范 第14部分：水产池塘养殖基础控制点与符合性规范》（GB/T 20014.14）；</w:t>
      </w:r>
    </w:p>
    <w:p w14:paraId="636A8EC2">
      <w:pPr>
        <w:shd w:val="clear" w:color="auto" w:fill="auto"/>
        <w:autoSpaceDE/>
        <w:autoSpaceDN/>
        <w:ind w:firstLine="560"/>
        <w:rPr>
          <w:rFonts w:ascii="Times New Roman" w:hAnsi="Times New Roman" w:cs="Times New Roman"/>
          <w:kern w:val="2"/>
          <w:sz w:val="28"/>
          <w:szCs w:val="28"/>
        </w:rPr>
      </w:pPr>
      <w:r>
        <w:rPr>
          <w:rFonts w:ascii="Times New Roman" w:hAnsi="Times New Roman" w:cs="Times New Roman"/>
          <w:kern w:val="2"/>
          <w:sz w:val="28"/>
          <w:szCs w:val="28"/>
        </w:rPr>
        <w:t>（5）《渔业水质标准》（GB 11607）；</w:t>
      </w:r>
    </w:p>
    <w:p w14:paraId="09F39B6C">
      <w:pPr>
        <w:shd w:val="clear" w:color="auto" w:fill="auto"/>
        <w:autoSpaceDE/>
        <w:autoSpaceDN/>
        <w:ind w:firstLine="560"/>
        <w:rPr>
          <w:rFonts w:ascii="Times New Roman" w:hAnsi="Times New Roman" w:cs="Times New Roman"/>
          <w:kern w:val="2"/>
          <w:sz w:val="28"/>
          <w:szCs w:val="28"/>
        </w:rPr>
      </w:pPr>
      <w:r>
        <w:rPr>
          <w:rFonts w:ascii="Times New Roman" w:hAnsi="Times New Roman" w:cs="Times New Roman"/>
          <w:kern w:val="2"/>
          <w:sz w:val="28"/>
          <w:szCs w:val="28"/>
        </w:rPr>
        <w:t>（6）《水闸设计规范》（SL 265）；</w:t>
      </w:r>
    </w:p>
    <w:p w14:paraId="619E23C6">
      <w:pPr>
        <w:shd w:val="clear" w:color="auto" w:fill="auto"/>
        <w:autoSpaceDE/>
        <w:autoSpaceDN/>
        <w:ind w:firstLine="560"/>
        <w:rPr>
          <w:rFonts w:ascii="Times New Roman" w:hAnsi="Times New Roman" w:cs="Times New Roman"/>
          <w:kern w:val="2"/>
          <w:sz w:val="28"/>
          <w:szCs w:val="28"/>
        </w:rPr>
      </w:pPr>
      <w:r>
        <w:rPr>
          <w:rFonts w:ascii="Times New Roman" w:hAnsi="Times New Roman" w:cs="Times New Roman"/>
          <w:kern w:val="2"/>
          <w:sz w:val="28"/>
          <w:szCs w:val="28"/>
        </w:rPr>
        <w:t>（7）《灌溉与排水工程设计标准》（GB 50288）；</w:t>
      </w:r>
    </w:p>
    <w:p w14:paraId="0ACF3CD9">
      <w:pPr>
        <w:shd w:val="clear" w:color="auto" w:fill="auto"/>
        <w:autoSpaceDE/>
        <w:autoSpaceDN/>
        <w:ind w:firstLine="560"/>
        <w:rPr>
          <w:rFonts w:ascii="Times New Roman" w:hAnsi="Times New Roman" w:cs="Times New Roman"/>
          <w:kern w:val="2"/>
          <w:sz w:val="28"/>
          <w:szCs w:val="28"/>
        </w:rPr>
      </w:pPr>
      <w:r>
        <w:rPr>
          <w:rFonts w:ascii="Times New Roman" w:hAnsi="Times New Roman" w:cs="Times New Roman"/>
          <w:kern w:val="2"/>
          <w:sz w:val="28"/>
          <w:szCs w:val="28"/>
        </w:rPr>
        <w:t>（8）《管道输水灌溉工程技术规范》（GB/T 20203）；</w:t>
      </w:r>
    </w:p>
    <w:p w14:paraId="4B5E031C">
      <w:pPr>
        <w:shd w:val="clear" w:color="auto" w:fill="auto"/>
        <w:autoSpaceDE/>
        <w:autoSpaceDN/>
        <w:ind w:firstLine="560"/>
        <w:rPr>
          <w:rFonts w:ascii="Times New Roman" w:hAnsi="Times New Roman" w:cs="Times New Roman"/>
          <w:kern w:val="2"/>
          <w:sz w:val="28"/>
          <w:szCs w:val="28"/>
        </w:rPr>
      </w:pPr>
      <w:r>
        <w:rPr>
          <w:rFonts w:ascii="Times New Roman" w:hAnsi="Times New Roman" w:cs="Times New Roman"/>
          <w:kern w:val="2"/>
          <w:sz w:val="28"/>
          <w:szCs w:val="28"/>
        </w:rPr>
        <w:t>（9）《渠道防渗衬砌工程技术标准》（GB/T 50600）；</w:t>
      </w:r>
    </w:p>
    <w:p w14:paraId="70AA1E70">
      <w:pPr>
        <w:shd w:val="clear" w:color="auto" w:fill="auto"/>
        <w:autoSpaceDE/>
        <w:autoSpaceDN/>
        <w:ind w:firstLine="560"/>
        <w:rPr>
          <w:rFonts w:ascii="Times New Roman" w:hAnsi="Times New Roman" w:cs="Times New Roman"/>
          <w:kern w:val="2"/>
          <w:sz w:val="28"/>
          <w:szCs w:val="28"/>
        </w:rPr>
      </w:pPr>
      <w:r>
        <w:rPr>
          <w:rFonts w:ascii="Times New Roman" w:hAnsi="Times New Roman" w:cs="Times New Roman"/>
          <w:kern w:val="2"/>
          <w:sz w:val="28"/>
          <w:szCs w:val="28"/>
        </w:rPr>
        <w:t>（10）《泵站设计标准》（GB 50265-2022）。</w:t>
      </w:r>
    </w:p>
    <w:bookmarkEnd w:id="21"/>
    <w:bookmarkEnd w:id="22"/>
    <w:p w14:paraId="495EA3A6">
      <w:pPr>
        <w:pStyle w:val="18"/>
        <w:spacing w:line="360" w:lineRule="auto"/>
        <w:rPr>
          <w:rFonts w:ascii="Times New Roman" w:hAnsi="Times New Roman" w:eastAsia="黑体" w:cs="Times New Roman"/>
          <w:b w:val="0"/>
          <w:bCs w:val="0"/>
          <w:sz w:val="28"/>
          <w:szCs w:val="28"/>
        </w:rPr>
      </w:pPr>
      <w:bookmarkStart w:id="23" w:name="_Toc186557630"/>
      <w:r>
        <w:rPr>
          <w:rFonts w:ascii="Times New Roman" w:hAnsi="Times New Roman" w:eastAsia="黑体" w:cs="Times New Roman"/>
          <w:b w:val="0"/>
          <w:bCs w:val="0"/>
          <w:sz w:val="28"/>
          <w:szCs w:val="28"/>
        </w:rPr>
        <w:t>5 标准的主要内容</w:t>
      </w:r>
      <w:bookmarkEnd w:id="23"/>
    </w:p>
    <w:p w14:paraId="4EB905F9">
      <w:pPr>
        <w:pStyle w:val="23"/>
        <w:spacing w:line="360" w:lineRule="auto"/>
        <w:rPr>
          <w:rFonts w:ascii="Times New Roman" w:hAnsi="Times New Roman" w:eastAsia="黑体" w:cs="Times New Roman"/>
          <w:b w:val="0"/>
          <w:bCs w:val="0"/>
          <w:szCs w:val="28"/>
        </w:rPr>
      </w:pPr>
      <w:bookmarkStart w:id="24" w:name="_Toc186557631"/>
      <w:r>
        <w:rPr>
          <w:rFonts w:ascii="Times New Roman" w:hAnsi="Times New Roman" w:eastAsia="黑体" w:cs="Times New Roman"/>
          <w:b w:val="0"/>
          <w:bCs w:val="0"/>
          <w:szCs w:val="28"/>
        </w:rPr>
        <w:t>5.1 适用范围</w:t>
      </w:r>
      <w:bookmarkEnd w:id="24"/>
    </w:p>
    <w:p w14:paraId="2B27062A">
      <w:pPr>
        <w:shd w:val="clear" w:color="auto" w:fill="auto"/>
        <w:autoSpaceDE/>
        <w:autoSpaceDN/>
        <w:ind w:firstLine="560"/>
        <w:rPr>
          <w:rFonts w:ascii="Times New Roman" w:hAnsi="Times New Roman" w:cs="Times New Roman"/>
          <w:kern w:val="2"/>
          <w:sz w:val="28"/>
          <w:szCs w:val="28"/>
        </w:rPr>
      </w:pPr>
      <w:bookmarkStart w:id="25" w:name="_Hlk168992993"/>
      <w:r>
        <w:rPr>
          <w:rFonts w:ascii="Times New Roman" w:hAnsi="Times New Roman" w:cs="Times New Roman"/>
          <w:kern w:val="2"/>
          <w:sz w:val="28"/>
          <w:szCs w:val="28"/>
        </w:rPr>
        <w:t>该技术规范</w:t>
      </w:r>
      <w:bookmarkEnd w:id="25"/>
      <w:r>
        <w:rPr>
          <w:rFonts w:ascii="Times New Roman" w:hAnsi="Times New Roman" w:cs="Times New Roman"/>
          <w:kern w:val="2"/>
          <w:sz w:val="28"/>
          <w:szCs w:val="28"/>
        </w:rPr>
        <w:t>适用于标准化淡水养殖池塘的新建和改（扩）建规划、项目建议书、可行性研究报告及初步设计等文件的编制；也可作为项目评估、监督检查及政府投资主管部门项目管理参考。</w:t>
      </w:r>
    </w:p>
    <w:p w14:paraId="13243188">
      <w:pPr>
        <w:pStyle w:val="23"/>
        <w:spacing w:line="360" w:lineRule="auto"/>
        <w:rPr>
          <w:rFonts w:ascii="Times New Roman" w:hAnsi="Times New Roman" w:eastAsia="黑体" w:cs="Times New Roman"/>
          <w:b w:val="0"/>
          <w:bCs w:val="0"/>
          <w:szCs w:val="28"/>
        </w:rPr>
      </w:pPr>
      <w:bookmarkStart w:id="26" w:name="_Toc186557632"/>
      <w:bookmarkStart w:id="27" w:name="_Hlk168994781"/>
      <w:r>
        <w:rPr>
          <w:rFonts w:ascii="Times New Roman" w:hAnsi="Times New Roman" w:eastAsia="黑体" w:cs="Times New Roman"/>
          <w:b w:val="0"/>
          <w:bCs w:val="0"/>
          <w:szCs w:val="28"/>
        </w:rPr>
        <w:t>5.2 主要内容</w:t>
      </w:r>
      <w:bookmarkEnd w:id="26"/>
    </w:p>
    <w:bookmarkEnd w:id="27"/>
    <w:p w14:paraId="6E8CF1B0">
      <w:pPr>
        <w:shd w:val="clear" w:color="auto" w:fill="auto"/>
        <w:autoSpaceDE/>
        <w:autoSpaceDN/>
        <w:ind w:firstLine="560"/>
        <w:rPr>
          <w:rFonts w:ascii="Times New Roman" w:hAnsi="Times New Roman" w:cs="Times New Roman"/>
          <w:kern w:val="2"/>
          <w:sz w:val="28"/>
          <w:szCs w:val="28"/>
        </w:rPr>
      </w:pPr>
      <w:r>
        <w:rPr>
          <w:rFonts w:ascii="Times New Roman" w:hAnsi="Times New Roman" w:cs="Times New Roman"/>
          <w:kern w:val="2"/>
          <w:sz w:val="28"/>
          <w:szCs w:val="28"/>
        </w:rPr>
        <w:t>本标准框架为：</w:t>
      </w:r>
    </w:p>
    <w:p w14:paraId="3020F17D">
      <w:pPr>
        <w:shd w:val="clear" w:color="auto" w:fill="auto"/>
        <w:autoSpaceDE/>
        <w:autoSpaceDN/>
        <w:ind w:firstLine="560"/>
        <w:rPr>
          <w:rFonts w:ascii="Times New Roman" w:hAnsi="Times New Roman" w:cs="Times New Roman"/>
          <w:kern w:val="2"/>
          <w:sz w:val="28"/>
          <w:szCs w:val="28"/>
        </w:rPr>
      </w:pPr>
      <w:r>
        <w:rPr>
          <w:rFonts w:ascii="Times New Roman" w:hAnsi="Times New Roman" w:cs="Times New Roman"/>
          <w:kern w:val="2"/>
          <w:sz w:val="28"/>
          <w:szCs w:val="28"/>
        </w:rPr>
        <w:t>1、范围：适用于标准化淡水养殖池塘的新建和改（扩）建规划、项目建议书、可行性研究报告及初步设计等文件的编制；也可作为项目评估、监督检查及政府投资主管部门项目管理参考。</w:t>
      </w:r>
    </w:p>
    <w:p w14:paraId="7ADD0852">
      <w:pPr>
        <w:shd w:val="clear" w:color="auto" w:fill="auto"/>
        <w:autoSpaceDE/>
        <w:autoSpaceDN/>
        <w:ind w:firstLine="560"/>
        <w:rPr>
          <w:rFonts w:ascii="Times New Roman" w:hAnsi="Times New Roman" w:cs="Times New Roman"/>
          <w:kern w:val="2"/>
          <w:sz w:val="28"/>
          <w:szCs w:val="28"/>
        </w:rPr>
      </w:pPr>
      <w:r>
        <w:rPr>
          <w:rFonts w:ascii="Times New Roman" w:hAnsi="Times New Roman" w:cs="Times New Roman"/>
          <w:kern w:val="2"/>
          <w:sz w:val="28"/>
          <w:szCs w:val="28"/>
        </w:rPr>
        <w:t>2、规范性引用文件：主要引用了NYT3616、DB32/4043、GB 11607、SL 265、GB 50288、GB/T 20203、GB/T 50600、GB 50265-2022等标准。</w:t>
      </w:r>
    </w:p>
    <w:p w14:paraId="0C952FAC">
      <w:pPr>
        <w:shd w:val="clear" w:color="auto" w:fill="auto"/>
        <w:autoSpaceDE/>
        <w:autoSpaceDN/>
        <w:ind w:firstLine="560"/>
        <w:rPr>
          <w:rFonts w:ascii="Times New Roman" w:hAnsi="Times New Roman" w:cs="Times New Roman"/>
          <w:kern w:val="2"/>
          <w:sz w:val="28"/>
          <w:szCs w:val="28"/>
        </w:rPr>
      </w:pPr>
      <w:r>
        <w:rPr>
          <w:rFonts w:ascii="Times New Roman" w:hAnsi="Times New Roman" w:cs="Times New Roman"/>
          <w:kern w:val="2"/>
          <w:sz w:val="28"/>
          <w:szCs w:val="28"/>
        </w:rPr>
        <w:t>3、选址要求：基本要求、水源要求、土壤要求等。</w:t>
      </w:r>
    </w:p>
    <w:p w14:paraId="525292F4">
      <w:pPr>
        <w:shd w:val="clear" w:color="auto" w:fill="auto"/>
        <w:autoSpaceDE/>
        <w:autoSpaceDN/>
        <w:ind w:firstLine="560"/>
        <w:rPr>
          <w:rFonts w:ascii="Times New Roman" w:hAnsi="Times New Roman" w:cs="Times New Roman"/>
          <w:kern w:val="2"/>
          <w:sz w:val="28"/>
          <w:szCs w:val="28"/>
        </w:rPr>
      </w:pPr>
      <w:r>
        <w:rPr>
          <w:rFonts w:ascii="Times New Roman" w:hAnsi="Times New Roman" w:cs="Times New Roman"/>
          <w:kern w:val="2"/>
          <w:sz w:val="28"/>
          <w:szCs w:val="28"/>
        </w:rPr>
        <w:t>4、池塘建设要求：形状、面积、塘埂、池深、塘底、池塘护坡等。</w:t>
      </w:r>
    </w:p>
    <w:p w14:paraId="44DC80B1">
      <w:pPr>
        <w:shd w:val="clear" w:color="auto" w:fill="auto"/>
        <w:autoSpaceDE/>
        <w:autoSpaceDN/>
        <w:ind w:firstLine="560"/>
        <w:rPr>
          <w:rFonts w:ascii="Times New Roman" w:hAnsi="Times New Roman" w:cs="Times New Roman"/>
          <w:kern w:val="2"/>
          <w:sz w:val="28"/>
          <w:szCs w:val="28"/>
        </w:rPr>
      </w:pPr>
      <w:r>
        <w:rPr>
          <w:rFonts w:ascii="Times New Roman" w:hAnsi="Times New Roman" w:cs="Times New Roman"/>
          <w:kern w:val="2"/>
          <w:sz w:val="28"/>
          <w:szCs w:val="28"/>
        </w:rPr>
        <w:t>5、进排水建设要求：提水泵站、输水设施、渠系建筑物等。</w:t>
      </w:r>
    </w:p>
    <w:p w14:paraId="5A41EF46">
      <w:pPr>
        <w:shd w:val="clear" w:color="auto" w:fill="auto"/>
        <w:autoSpaceDE/>
        <w:autoSpaceDN/>
        <w:ind w:firstLine="560"/>
        <w:rPr>
          <w:rFonts w:ascii="Times New Roman" w:hAnsi="Times New Roman" w:cs="Times New Roman"/>
          <w:kern w:val="2"/>
          <w:sz w:val="28"/>
          <w:szCs w:val="28"/>
        </w:rPr>
      </w:pPr>
      <w:r>
        <w:rPr>
          <w:rFonts w:ascii="Times New Roman" w:hAnsi="Times New Roman" w:cs="Times New Roman"/>
          <w:kern w:val="2"/>
          <w:sz w:val="28"/>
          <w:szCs w:val="28"/>
        </w:rPr>
        <w:t>6、配套设施要求：电力、设备、管理用房、道路等。</w:t>
      </w:r>
    </w:p>
    <w:p w14:paraId="2E853CA1">
      <w:pPr>
        <w:pStyle w:val="23"/>
        <w:spacing w:line="360" w:lineRule="auto"/>
        <w:rPr>
          <w:rFonts w:ascii="Times New Roman" w:hAnsi="Times New Roman" w:eastAsia="黑体" w:cs="Times New Roman"/>
          <w:b w:val="0"/>
          <w:bCs w:val="0"/>
          <w:szCs w:val="28"/>
        </w:rPr>
      </w:pPr>
      <w:bookmarkStart w:id="28" w:name="_Toc186557633"/>
      <w:r>
        <w:rPr>
          <w:rFonts w:ascii="Times New Roman" w:hAnsi="Times New Roman" w:eastAsia="黑体" w:cs="Times New Roman"/>
          <w:b w:val="0"/>
          <w:bCs w:val="0"/>
          <w:szCs w:val="28"/>
        </w:rPr>
        <w:t>5.3 淡水养殖池塘管理措施</w:t>
      </w:r>
      <w:bookmarkEnd w:id="28"/>
    </w:p>
    <w:p w14:paraId="4873AB0E">
      <w:pPr>
        <w:pStyle w:val="19"/>
        <w:spacing w:line="360" w:lineRule="auto"/>
        <w:ind w:firstLine="560" w:firstLineChars="200"/>
        <w:rPr>
          <w:rFonts w:ascii="Times New Roman" w:hAnsi="Times New Roman" w:eastAsia="宋体" w:cs="Times New Roman"/>
          <w:color w:val="auto"/>
          <w:kern w:val="2"/>
          <w:sz w:val="28"/>
          <w:szCs w:val="28"/>
        </w:rPr>
      </w:pPr>
      <w:r>
        <w:rPr>
          <w:rFonts w:ascii="Times New Roman" w:hAnsi="Times New Roman" w:eastAsia="宋体" w:cs="Times New Roman"/>
          <w:color w:val="auto"/>
          <w:kern w:val="2"/>
          <w:sz w:val="28"/>
          <w:szCs w:val="28"/>
        </w:rPr>
        <w:t>淡水养殖池塘的管理措施涉及多个方面，需要综合考虑养殖环境、水质、饲料、疾病防控以及日常巡查与应急处理等多个因素。通过科学的管理措施，提高淡水养殖的产量和效益。</w:t>
      </w:r>
    </w:p>
    <w:p w14:paraId="18760544">
      <w:pPr>
        <w:pStyle w:val="18"/>
        <w:spacing w:line="360" w:lineRule="auto"/>
        <w:rPr>
          <w:rFonts w:ascii="Times New Roman" w:hAnsi="Times New Roman" w:eastAsia="黑体" w:cs="Times New Roman"/>
          <w:b w:val="0"/>
          <w:bCs w:val="0"/>
          <w:sz w:val="28"/>
          <w:szCs w:val="28"/>
        </w:rPr>
      </w:pPr>
      <w:bookmarkStart w:id="29" w:name="_Toc186557634"/>
      <w:r>
        <w:rPr>
          <w:rFonts w:ascii="Times New Roman" w:hAnsi="Times New Roman" w:eastAsia="黑体" w:cs="Times New Roman"/>
          <w:b w:val="0"/>
          <w:bCs w:val="0"/>
          <w:sz w:val="28"/>
          <w:szCs w:val="28"/>
        </w:rPr>
        <w:t>6 国内相关标准规范</w:t>
      </w:r>
      <w:bookmarkEnd w:id="29"/>
    </w:p>
    <w:p w14:paraId="02B4B8A1">
      <w:pPr>
        <w:shd w:val="clear" w:color="auto" w:fill="auto"/>
        <w:autoSpaceDE/>
        <w:autoSpaceDN/>
        <w:ind w:firstLine="560"/>
        <w:rPr>
          <w:rFonts w:ascii="Times New Roman" w:hAnsi="Times New Roman" w:cs="Times New Roman"/>
          <w:kern w:val="2"/>
          <w:sz w:val="28"/>
          <w:szCs w:val="28"/>
        </w:rPr>
      </w:pPr>
      <w:r>
        <w:rPr>
          <w:rFonts w:ascii="Times New Roman" w:hAnsi="Times New Roman" w:cs="Times New Roman"/>
          <w:kern w:val="2"/>
          <w:sz w:val="28"/>
          <w:szCs w:val="28"/>
        </w:rPr>
        <w:t>虽然国家层面并未直接针对淡水池塘标准化建设改造技术发布具体的规范标准，但淡水池塘养殖作为水产养殖业的重要组成部分，其建设改造需遵循国家相关的法律法规和通用技术规范。这些法律法规和技术规范可能涉及环保、水资源管理、养殖技术等多个方面，为淡水池塘的标准化建设改造提供指导和约束。如农业农村部发布的《水产养殖场建设规范》（NY/T 3616-2020）对养殖场池塘的建设提出了指导性的技术要求，包括池塘形状与朝向、池塘面积、池塘配套设施、池塘底质与水质以及池塘管理与维护等方面。这些要求旨在确保池塘的清洁、稳定和安全，提高养殖效率和养殖动物的健康水平。</w:t>
      </w:r>
    </w:p>
    <w:p w14:paraId="6A1BB16E">
      <w:pPr>
        <w:shd w:val="clear" w:color="auto" w:fill="auto"/>
        <w:autoSpaceDE/>
        <w:autoSpaceDN/>
        <w:ind w:firstLine="560"/>
        <w:rPr>
          <w:rFonts w:ascii="Times New Roman" w:hAnsi="Times New Roman" w:cs="Times New Roman"/>
          <w:kern w:val="2"/>
          <w:sz w:val="28"/>
          <w:szCs w:val="28"/>
        </w:rPr>
      </w:pPr>
      <w:r>
        <w:rPr>
          <w:rFonts w:ascii="Times New Roman" w:hAnsi="Times New Roman" w:cs="Times New Roman"/>
          <w:kern w:val="2"/>
          <w:sz w:val="28"/>
          <w:szCs w:val="28"/>
        </w:rPr>
        <w:t>在地方层面，各省份根据本地区的实际情况和养殖特点，制定了更为具体的地方标准。如山东省《标准化池塘建设改造技术规范》（DB 37/T 3418-2018）、河北省《淡水池塘标准化改造技术规范》（DB 13/T 1563-2012）、浙江省宁波市《水产养殖池塘改造建设规范》（DB 3302/T 059-2018）等，对淡水池塘改造建设条件、池塘建造要求、进排水建设要求、配套设施等均提出了更为细致的技术指标，突出各地方在淡水池塘改造建设中的关键要求和细节，为当地淡水池塘的标准化建设改造提供了有力的技术支撑和指导。</w:t>
      </w:r>
    </w:p>
    <w:p w14:paraId="4372CAF7">
      <w:pPr>
        <w:shd w:val="clear" w:color="auto" w:fill="auto"/>
        <w:autoSpaceDE/>
        <w:autoSpaceDN/>
        <w:ind w:firstLine="560"/>
        <w:rPr>
          <w:rFonts w:ascii="Times New Roman" w:hAnsi="Times New Roman" w:cs="Times New Roman"/>
          <w:kern w:val="2"/>
          <w:sz w:val="28"/>
          <w:szCs w:val="28"/>
        </w:rPr>
      </w:pPr>
      <w:r>
        <w:rPr>
          <w:rFonts w:ascii="Times New Roman" w:hAnsi="Times New Roman" w:cs="Times New Roman"/>
          <w:kern w:val="2"/>
          <w:sz w:val="28"/>
          <w:szCs w:val="28"/>
        </w:rPr>
        <w:t>本标准在《水产养殖场建设规范》（NY/T 3616-2020）下，结合江苏省淡水池塘养殖特点，通过细化技术参数和池塘建设要求，进一步推动江苏省淡水池塘养殖业的规模化、标准化和产业化发展，提高产业的整体效益和竞争力。</w:t>
      </w:r>
    </w:p>
    <w:p w14:paraId="25E135D5">
      <w:pPr>
        <w:pStyle w:val="18"/>
        <w:spacing w:line="360" w:lineRule="auto"/>
        <w:rPr>
          <w:rFonts w:ascii="Times New Roman" w:hAnsi="Times New Roman" w:eastAsia="黑体" w:cs="Times New Roman"/>
          <w:b w:val="0"/>
          <w:bCs w:val="0"/>
          <w:sz w:val="28"/>
          <w:szCs w:val="28"/>
        </w:rPr>
      </w:pPr>
      <w:bookmarkStart w:id="30" w:name="_Toc186557635"/>
      <w:bookmarkStart w:id="31" w:name="_Toc144305327"/>
      <w:r>
        <w:rPr>
          <w:rFonts w:ascii="Times New Roman" w:hAnsi="Times New Roman" w:eastAsia="黑体" w:cs="Times New Roman"/>
          <w:b w:val="0"/>
          <w:bCs w:val="0"/>
          <w:sz w:val="28"/>
          <w:szCs w:val="28"/>
        </w:rPr>
        <w:t>7 标准实施效益分析</w:t>
      </w:r>
      <w:bookmarkEnd w:id="30"/>
      <w:bookmarkEnd w:id="31"/>
    </w:p>
    <w:p w14:paraId="4BDAE686">
      <w:pPr>
        <w:pStyle w:val="23"/>
        <w:spacing w:line="360" w:lineRule="auto"/>
        <w:rPr>
          <w:rFonts w:ascii="Times New Roman" w:hAnsi="Times New Roman" w:eastAsia="黑体" w:cs="Times New Roman"/>
          <w:b w:val="0"/>
          <w:bCs w:val="0"/>
          <w:szCs w:val="28"/>
        </w:rPr>
      </w:pPr>
      <w:bookmarkStart w:id="32" w:name="_Toc144305328"/>
      <w:bookmarkStart w:id="33" w:name="_Toc186557636"/>
      <w:r>
        <w:rPr>
          <w:rFonts w:ascii="Times New Roman" w:hAnsi="Times New Roman" w:eastAsia="黑体" w:cs="Times New Roman"/>
          <w:b w:val="0"/>
          <w:bCs w:val="0"/>
          <w:szCs w:val="28"/>
        </w:rPr>
        <w:t>7.1 生态效益</w:t>
      </w:r>
      <w:bookmarkEnd w:id="32"/>
      <w:bookmarkEnd w:id="33"/>
    </w:p>
    <w:p w14:paraId="27CA7AB9">
      <w:pPr>
        <w:shd w:val="clear" w:color="auto" w:fill="auto"/>
        <w:autoSpaceDE/>
        <w:autoSpaceDN/>
        <w:ind w:firstLine="560"/>
        <w:rPr>
          <w:rFonts w:ascii="Times New Roman" w:hAnsi="Times New Roman" w:cs="Times New Roman"/>
          <w:kern w:val="2"/>
          <w:sz w:val="28"/>
          <w:szCs w:val="28"/>
        </w:rPr>
      </w:pPr>
      <w:r>
        <w:rPr>
          <w:rFonts w:ascii="Times New Roman" w:hAnsi="Times New Roman" w:cs="Times New Roman"/>
          <w:kern w:val="2"/>
          <w:sz w:val="28"/>
          <w:szCs w:val="28"/>
        </w:rPr>
        <w:t>该标准的实施可加强基础设施建设，提高了池塘的抗灾能力，能够更好地抵御自然灾害的侵袭，减少养殖损失，保证渔业生产的稳定性和安全性。同时重视环境保护和生态平衡，池塘水体更加清澈，浮游生物和微生物更加丰富，为水生生物提供了更加适宜的生存环境，有助于恢复和增强水生态系统，推动传统水产养殖向生态养殖业迈进。</w:t>
      </w:r>
    </w:p>
    <w:p w14:paraId="1DD2CF18">
      <w:pPr>
        <w:pStyle w:val="23"/>
        <w:spacing w:line="360" w:lineRule="auto"/>
        <w:rPr>
          <w:rFonts w:ascii="Times New Roman" w:hAnsi="Times New Roman" w:eastAsia="黑体" w:cs="Times New Roman"/>
          <w:b w:val="0"/>
          <w:bCs w:val="0"/>
          <w:szCs w:val="28"/>
        </w:rPr>
      </w:pPr>
      <w:bookmarkStart w:id="34" w:name="_Toc186557637"/>
      <w:r>
        <w:rPr>
          <w:rFonts w:ascii="Times New Roman" w:hAnsi="Times New Roman" w:eastAsia="黑体" w:cs="Times New Roman"/>
          <w:b w:val="0"/>
          <w:bCs w:val="0"/>
          <w:szCs w:val="28"/>
        </w:rPr>
        <w:t>7.2 经济效益</w:t>
      </w:r>
      <w:bookmarkEnd w:id="34"/>
    </w:p>
    <w:p w14:paraId="3B5F94ED">
      <w:pPr>
        <w:shd w:val="clear" w:color="auto" w:fill="auto"/>
        <w:autoSpaceDE/>
        <w:autoSpaceDN/>
        <w:ind w:firstLine="560"/>
        <w:rPr>
          <w:rFonts w:ascii="Times New Roman" w:hAnsi="Times New Roman" w:cs="Times New Roman"/>
          <w:kern w:val="2"/>
          <w:sz w:val="28"/>
          <w:szCs w:val="28"/>
        </w:rPr>
      </w:pPr>
      <w:r>
        <w:rPr>
          <w:rFonts w:ascii="Times New Roman" w:hAnsi="Times New Roman" w:cs="Times New Roman"/>
          <w:kern w:val="2"/>
          <w:sz w:val="28"/>
          <w:szCs w:val="28"/>
        </w:rPr>
        <w:t>实施该规范标准，通过科学规划、合理布局，可改善水质和环境，为水生生物提供了更加适宜的生存环境，能够更好地满足水生生物的生活习性，减少养殖过程中的疾病和死亡风险，同时可优化池塘的生态系统，减少渔药及抗生素的使用，降低养殖成本，提高养殖效益。此外，标准化池塘的建设改造，有助于打造具有绿色环保、科技引领特色的智慧渔业示范区，提升水产品的品牌价值和市场竞争力。</w:t>
      </w:r>
    </w:p>
    <w:p w14:paraId="5CE10D54">
      <w:pPr>
        <w:pStyle w:val="23"/>
        <w:spacing w:line="360" w:lineRule="auto"/>
        <w:rPr>
          <w:rFonts w:ascii="Times New Roman" w:hAnsi="Times New Roman" w:eastAsia="黑体" w:cs="Times New Roman"/>
          <w:b w:val="0"/>
          <w:bCs w:val="0"/>
          <w:szCs w:val="28"/>
        </w:rPr>
      </w:pPr>
      <w:bookmarkStart w:id="35" w:name="_Toc186557638"/>
      <w:r>
        <w:rPr>
          <w:rFonts w:ascii="Times New Roman" w:hAnsi="Times New Roman" w:eastAsia="黑体" w:cs="Times New Roman"/>
          <w:b w:val="0"/>
          <w:bCs w:val="0"/>
          <w:szCs w:val="28"/>
        </w:rPr>
        <w:t>7.3 社会效益</w:t>
      </w:r>
      <w:bookmarkEnd w:id="35"/>
    </w:p>
    <w:p w14:paraId="40C9496D">
      <w:pPr>
        <w:shd w:val="clear" w:color="auto" w:fill="auto"/>
        <w:autoSpaceDE/>
        <w:autoSpaceDN/>
        <w:ind w:firstLine="560"/>
        <w:rPr>
          <w:rFonts w:ascii="Times New Roman" w:hAnsi="Times New Roman" w:cs="Times New Roman"/>
          <w:kern w:val="2"/>
          <w:sz w:val="28"/>
          <w:szCs w:val="28"/>
        </w:rPr>
      </w:pPr>
      <w:r>
        <w:rPr>
          <w:rFonts w:ascii="Times New Roman" w:hAnsi="Times New Roman" w:cs="Times New Roman"/>
          <w:kern w:val="2"/>
          <w:sz w:val="28"/>
          <w:szCs w:val="28"/>
        </w:rPr>
        <w:t>该标准的推广和实施，可进一步提高淡水池塘的生产效率，提升水产品的整体质量，从而保障食品安全和消费者的健康。此外，不仅可改善养殖池塘的基础设施条件，还可以提升其景观价值，使得淡水池塘成为休闲旅游的重要资源，可以进一步拓展产业增收空间，直接拉动相关产业的就业需求。</w:t>
      </w:r>
    </w:p>
    <w:p w14:paraId="0512A262">
      <w:pPr>
        <w:pStyle w:val="18"/>
        <w:spacing w:line="360" w:lineRule="auto"/>
        <w:rPr>
          <w:rFonts w:ascii="Times New Roman" w:hAnsi="Times New Roman" w:eastAsia="黑体" w:cs="Times New Roman"/>
          <w:b w:val="0"/>
          <w:bCs w:val="0"/>
          <w:sz w:val="28"/>
          <w:szCs w:val="28"/>
        </w:rPr>
      </w:pPr>
      <w:bookmarkStart w:id="36" w:name="_Toc186557639"/>
      <w:r>
        <w:rPr>
          <w:rFonts w:ascii="Times New Roman" w:hAnsi="Times New Roman" w:eastAsia="黑体" w:cs="Times New Roman"/>
          <w:b w:val="0"/>
          <w:bCs w:val="0"/>
          <w:sz w:val="28"/>
          <w:szCs w:val="28"/>
        </w:rPr>
        <w:t>8 标准实施建议</w:t>
      </w:r>
      <w:bookmarkEnd w:id="36"/>
    </w:p>
    <w:p w14:paraId="36EC3D87">
      <w:pPr>
        <w:shd w:val="clear" w:color="auto" w:fill="auto"/>
        <w:autoSpaceDE/>
        <w:autoSpaceDN/>
        <w:ind w:firstLine="560"/>
        <w:rPr>
          <w:rFonts w:ascii="Times New Roman" w:hAnsi="Times New Roman" w:cs="Times New Roman"/>
          <w:kern w:val="2"/>
          <w:sz w:val="28"/>
          <w:szCs w:val="28"/>
        </w:rPr>
      </w:pPr>
      <w:r>
        <w:rPr>
          <w:rFonts w:ascii="Times New Roman" w:hAnsi="Times New Roman" w:cs="Times New Roman"/>
          <w:kern w:val="2"/>
          <w:sz w:val="28"/>
          <w:szCs w:val="28"/>
        </w:rPr>
        <w:t>针对全省农业系统内从事水产养殖生产管理与技术推广的人员，以及水产养殖企业、合作社的技术负责人和养殖户，我们将分三个阶段实施标准推广方案。</w:t>
      </w:r>
    </w:p>
    <w:p w14:paraId="2001392A">
      <w:pPr>
        <w:shd w:val="clear" w:color="auto" w:fill="auto"/>
        <w:autoSpaceDE/>
        <w:autoSpaceDN/>
        <w:ind w:firstLine="560"/>
        <w:rPr>
          <w:rFonts w:ascii="Times New Roman" w:hAnsi="Times New Roman" w:cs="Times New Roman"/>
          <w:kern w:val="2"/>
          <w:sz w:val="28"/>
          <w:szCs w:val="28"/>
        </w:rPr>
      </w:pPr>
      <w:r>
        <w:rPr>
          <w:rFonts w:ascii="Times New Roman" w:hAnsi="Times New Roman" w:cs="Times New Roman"/>
          <w:kern w:val="2"/>
          <w:sz w:val="28"/>
          <w:szCs w:val="28"/>
        </w:rPr>
        <w:t>（1）启动阶段：制定并实施宣贯计划，由项目团队联合相关部门召开专门的宣贯会议，安排宣贯任务，并制作相关的宣贯资料。</w:t>
      </w:r>
    </w:p>
    <w:p w14:paraId="69FAC0EB">
      <w:pPr>
        <w:shd w:val="clear" w:color="auto" w:fill="auto"/>
        <w:autoSpaceDE/>
        <w:autoSpaceDN/>
        <w:ind w:firstLine="560"/>
        <w:rPr>
          <w:rFonts w:ascii="Times New Roman" w:hAnsi="Times New Roman" w:cs="Times New Roman"/>
          <w:kern w:val="2"/>
          <w:sz w:val="28"/>
          <w:szCs w:val="28"/>
        </w:rPr>
      </w:pPr>
      <w:r>
        <w:rPr>
          <w:rFonts w:ascii="Times New Roman" w:hAnsi="Times New Roman" w:cs="Times New Roman"/>
          <w:kern w:val="2"/>
          <w:sz w:val="28"/>
          <w:szCs w:val="28"/>
        </w:rPr>
        <w:t>（2）实施阶段：1）组织培训与宣传。根据宣贯计划，通过专题会议、专业培训、在线教育、知识竞赛等多种方式，全面开展标准宣贯工作，确保所有目标对象都能了解宣贯内容。例如，邀请相关领域的专家、学者和经验丰富的养殖者，举办淡水池塘标准化建设改造技术规范的培训班和研讨会。通过现场讲解、示范操作和互动交流等方式，提高养殖者对标准的理解和应用能力。2）建立示范点。在不同地区选择具有代表性的淡水池塘养殖基地，建立淡水池塘标准化建设改造技术规范的示范点。通过示范点的建设和运营，展示标准的实际效果和优势，为其他养殖者提供可借鉴的经验和模式。</w:t>
      </w:r>
    </w:p>
    <w:p w14:paraId="53C7EE35">
      <w:pPr>
        <w:shd w:val="clear" w:color="auto" w:fill="auto"/>
        <w:autoSpaceDE/>
        <w:autoSpaceDN/>
        <w:ind w:firstLine="560"/>
        <w:rPr>
          <w:rFonts w:ascii="Times New Roman" w:hAnsi="Times New Roman" w:cs="Times New Roman"/>
          <w:kern w:val="2"/>
          <w:sz w:val="28"/>
          <w:szCs w:val="28"/>
        </w:rPr>
      </w:pPr>
      <w:r>
        <w:rPr>
          <w:rFonts w:ascii="Times New Roman" w:hAnsi="Times New Roman" w:cs="Times New Roman"/>
          <w:kern w:val="2"/>
          <w:sz w:val="28"/>
          <w:szCs w:val="28"/>
        </w:rPr>
        <w:t>（3）评估与反馈阶段：通过问卷调查、现场访谈等方式，收集养殖者、政府部门和科研机构等对该规范标准的反馈意见。根据收集到的反馈意见和相关数据，对该规范标准的推广效果进行评估，包括养殖者对标准的认知度、应用情况、养殖效益提升情况等。根据评估结果和反馈意见，对淡水池塘标准化建设改造技术规范进行持续改进和优化，提高标准的科学性、实用性和适应性。确保淡水池塘标准化建设改造技术规范得到有效推广和应用，推动淡水池塘养殖业的转型升级和可持续发展。</w:t>
      </w:r>
    </w:p>
    <w:p w14:paraId="380A443E">
      <w:pPr>
        <w:shd w:val="clear" w:color="auto" w:fill="auto"/>
        <w:autoSpaceDE/>
        <w:autoSpaceDN/>
        <w:ind w:firstLine="0" w:firstLineChars="0"/>
        <w:rPr>
          <w:rFonts w:ascii="Times New Roman" w:hAnsi="Times New Roman" w:cs="Times New Roman"/>
          <w:kern w:val="2"/>
          <w:sz w:val="28"/>
          <w:szCs w:val="28"/>
        </w:rPr>
      </w:pPr>
    </w:p>
    <w:sectPr>
      <w:footerReference r:id="rId11" w:type="default"/>
      <w:pgSz w:w="11906" w:h="16838"/>
      <w:pgMar w:top="1134" w:right="1134" w:bottom="1134" w:left="1417"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D5E3C">
    <w:pPr>
      <w:pStyle w:val="6"/>
      <w:ind w:firstLine="360"/>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D24AED">
                          <w:pPr>
                            <w:pStyle w:val="6"/>
                            <w:ind w:firstLine="360"/>
                            <w:rPr>
                              <w:rFonts w:hint="eastAsia"/>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ED24AED">
                    <w:pPr>
                      <w:pStyle w:val="6"/>
                      <w:ind w:firstLine="360"/>
                      <w:rPr>
                        <w:rFonts w:hint="eastAsia"/>
                      </w:rPr>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855FE">
    <w:pPr>
      <w:pStyle w:val="6"/>
      <w:ind w:firstLine="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BB8AC">
    <w:pPr>
      <w:pStyle w:val="6"/>
      <w:ind w:firstLine="360"/>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332CD">
    <w:pPr>
      <w:pStyle w:val="6"/>
      <w:ind w:firstLine="360"/>
      <w:rPr>
        <w:rFonts w:hint="eastAsia"/>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6378FF">
                          <w:pPr>
                            <w:pStyle w:val="6"/>
                            <w:ind w:firstLine="360"/>
                            <w:rPr>
                              <w:rFonts w:hint="eastAsia"/>
                            </w:rPr>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3F6378FF">
                    <w:pPr>
                      <w:pStyle w:val="6"/>
                      <w:ind w:firstLine="360"/>
                      <w:rPr>
                        <w:rFonts w:hint="eastAsia"/>
                      </w:rPr>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040F1">
    <w:pPr>
      <w:pStyle w:val="7"/>
      <w:ind w:firstLine="360"/>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2A983">
    <w:pPr>
      <w:pStyle w:val="7"/>
      <w:ind w:firstLine="360"/>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F6C033">
    <w:pPr>
      <w:pStyle w:val="7"/>
      <w:ind w:firstLine="360"/>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Q5YjQ4MGZmMDEwMDczOGQxNTlhYmY3MWY4MWJmZTkifQ=="/>
  </w:docVars>
  <w:rsids>
    <w:rsidRoot w:val="2B417EE3"/>
    <w:rsid w:val="00001049"/>
    <w:rsid w:val="000046CA"/>
    <w:rsid w:val="000048E7"/>
    <w:rsid w:val="000107E9"/>
    <w:rsid w:val="00011912"/>
    <w:rsid w:val="0001282A"/>
    <w:rsid w:val="00015900"/>
    <w:rsid w:val="00022536"/>
    <w:rsid w:val="0002460A"/>
    <w:rsid w:val="00030549"/>
    <w:rsid w:val="00035EC3"/>
    <w:rsid w:val="00041D24"/>
    <w:rsid w:val="000434DC"/>
    <w:rsid w:val="00043AB2"/>
    <w:rsid w:val="0005429D"/>
    <w:rsid w:val="00063576"/>
    <w:rsid w:val="000638AE"/>
    <w:rsid w:val="00064E3B"/>
    <w:rsid w:val="00073070"/>
    <w:rsid w:val="00077BBA"/>
    <w:rsid w:val="00077EAF"/>
    <w:rsid w:val="00083AFE"/>
    <w:rsid w:val="00084BC7"/>
    <w:rsid w:val="0008584E"/>
    <w:rsid w:val="000948BF"/>
    <w:rsid w:val="0009492D"/>
    <w:rsid w:val="0009580C"/>
    <w:rsid w:val="00097143"/>
    <w:rsid w:val="000A0A83"/>
    <w:rsid w:val="000B0B97"/>
    <w:rsid w:val="000E1BD4"/>
    <w:rsid w:val="000E7C10"/>
    <w:rsid w:val="000F19FB"/>
    <w:rsid w:val="00105278"/>
    <w:rsid w:val="00112E29"/>
    <w:rsid w:val="00114D41"/>
    <w:rsid w:val="00115B09"/>
    <w:rsid w:val="00134B33"/>
    <w:rsid w:val="0013609D"/>
    <w:rsid w:val="00136AEE"/>
    <w:rsid w:val="00141AD2"/>
    <w:rsid w:val="0014465A"/>
    <w:rsid w:val="00146C5D"/>
    <w:rsid w:val="0015418B"/>
    <w:rsid w:val="0015776E"/>
    <w:rsid w:val="001633D9"/>
    <w:rsid w:val="001635DB"/>
    <w:rsid w:val="00164459"/>
    <w:rsid w:val="0016730B"/>
    <w:rsid w:val="00176341"/>
    <w:rsid w:val="00176C3A"/>
    <w:rsid w:val="00183803"/>
    <w:rsid w:val="00187255"/>
    <w:rsid w:val="00190807"/>
    <w:rsid w:val="00193129"/>
    <w:rsid w:val="00195A4F"/>
    <w:rsid w:val="00196E44"/>
    <w:rsid w:val="00197081"/>
    <w:rsid w:val="00197E07"/>
    <w:rsid w:val="001B22B1"/>
    <w:rsid w:val="001B2B29"/>
    <w:rsid w:val="001B2D32"/>
    <w:rsid w:val="001B32AB"/>
    <w:rsid w:val="001B49F5"/>
    <w:rsid w:val="001C22C1"/>
    <w:rsid w:val="001C62CD"/>
    <w:rsid w:val="001C6C92"/>
    <w:rsid w:val="001D29C6"/>
    <w:rsid w:val="001D7CB5"/>
    <w:rsid w:val="001E3088"/>
    <w:rsid w:val="001F18E3"/>
    <w:rsid w:val="001F3023"/>
    <w:rsid w:val="001F5BDD"/>
    <w:rsid w:val="00200410"/>
    <w:rsid w:val="00201B5E"/>
    <w:rsid w:val="00203A72"/>
    <w:rsid w:val="0021254A"/>
    <w:rsid w:val="00212D51"/>
    <w:rsid w:val="002147B2"/>
    <w:rsid w:val="002205C6"/>
    <w:rsid w:val="00221C74"/>
    <w:rsid w:val="002278FA"/>
    <w:rsid w:val="00227F01"/>
    <w:rsid w:val="002330C2"/>
    <w:rsid w:val="002333CC"/>
    <w:rsid w:val="00242876"/>
    <w:rsid w:val="0024330A"/>
    <w:rsid w:val="00254501"/>
    <w:rsid w:val="00254F4F"/>
    <w:rsid w:val="00266AD8"/>
    <w:rsid w:val="00270746"/>
    <w:rsid w:val="0027601A"/>
    <w:rsid w:val="00286EB1"/>
    <w:rsid w:val="00287D6A"/>
    <w:rsid w:val="002A2D62"/>
    <w:rsid w:val="002A3B83"/>
    <w:rsid w:val="002A57FA"/>
    <w:rsid w:val="002B1909"/>
    <w:rsid w:val="002B239E"/>
    <w:rsid w:val="002B76AC"/>
    <w:rsid w:val="002C08E6"/>
    <w:rsid w:val="002C41F4"/>
    <w:rsid w:val="002C6912"/>
    <w:rsid w:val="002D6802"/>
    <w:rsid w:val="002D6D64"/>
    <w:rsid w:val="002D720C"/>
    <w:rsid w:val="002D7595"/>
    <w:rsid w:val="002E19ED"/>
    <w:rsid w:val="002E4660"/>
    <w:rsid w:val="002E6928"/>
    <w:rsid w:val="002F5925"/>
    <w:rsid w:val="002F675E"/>
    <w:rsid w:val="002F71FD"/>
    <w:rsid w:val="003006AA"/>
    <w:rsid w:val="003032F7"/>
    <w:rsid w:val="00307731"/>
    <w:rsid w:val="00307903"/>
    <w:rsid w:val="00317242"/>
    <w:rsid w:val="00327DF4"/>
    <w:rsid w:val="0033031A"/>
    <w:rsid w:val="00337C6D"/>
    <w:rsid w:val="0034708F"/>
    <w:rsid w:val="0035593F"/>
    <w:rsid w:val="003578AC"/>
    <w:rsid w:val="00357982"/>
    <w:rsid w:val="00364002"/>
    <w:rsid w:val="00380E50"/>
    <w:rsid w:val="0038118A"/>
    <w:rsid w:val="00385A1A"/>
    <w:rsid w:val="00385E72"/>
    <w:rsid w:val="003871F5"/>
    <w:rsid w:val="00391D5C"/>
    <w:rsid w:val="0039369D"/>
    <w:rsid w:val="003A31A9"/>
    <w:rsid w:val="003A4BF5"/>
    <w:rsid w:val="003B215C"/>
    <w:rsid w:val="003C32D6"/>
    <w:rsid w:val="003C4A44"/>
    <w:rsid w:val="003F0AFD"/>
    <w:rsid w:val="003F3A60"/>
    <w:rsid w:val="003F5F77"/>
    <w:rsid w:val="00400C56"/>
    <w:rsid w:val="00400D65"/>
    <w:rsid w:val="00403403"/>
    <w:rsid w:val="00405DE1"/>
    <w:rsid w:val="004067A0"/>
    <w:rsid w:val="00413162"/>
    <w:rsid w:val="004302CE"/>
    <w:rsid w:val="004316B0"/>
    <w:rsid w:val="004351A0"/>
    <w:rsid w:val="00443003"/>
    <w:rsid w:val="00444E0D"/>
    <w:rsid w:val="00445AB6"/>
    <w:rsid w:val="004470CB"/>
    <w:rsid w:val="00450D6F"/>
    <w:rsid w:val="004548AB"/>
    <w:rsid w:val="00455335"/>
    <w:rsid w:val="00455A24"/>
    <w:rsid w:val="00462605"/>
    <w:rsid w:val="00464E24"/>
    <w:rsid w:val="00466094"/>
    <w:rsid w:val="00470666"/>
    <w:rsid w:val="00470C2A"/>
    <w:rsid w:val="004719DB"/>
    <w:rsid w:val="00473971"/>
    <w:rsid w:val="00474BFE"/>
    <w:rsid w:val="004771FB"/>
    <w:rsid w:val="004830C0"/>
    <w:rsid w:val="00484E7F"/>
    <w:rsid w:val="00494827"/>
    <w:rsid w:val="00497E95"/>
    <w:rsid w:val="004A065C"/>
    <w:rsid w:val="004A0A02"/>
    <w:rsid w:val="004A1AC3"/>
    <w:rsid w:val="004A3161"/>
    <w:rsid w:val="004A39D7"/>
    <w:rsid w:val="004A6269"/>
    <w:rsid w:val="004B1DC5"/>
    <w:rsid w:val="004B62C3"/>
    <w:rsid w:val="004C0126"/>
    <w:rsid w:val="004C0320"/>
    <w:rsid w:val="004C03BF"/>
    <w:rsid w:val="004C0F9F"/>
    <w:rsid w:val="004C11E2"/>
    <w:rsid w:val="004C12C8"/>
    <w:rsid w:val="004C1E9D"/>
    <w:rsid w:val="004C348D"/>
    <w:rsid w:val="004C4845"/>
    <w:rsid w:val="004C52BD"/>
    <w:rsid w:val="004C7B9A"/>
    <w:rsid w:val="004C7F03"/>
    <w:rsid w:val="004F3ABB"/>
    <w:rsid w:val="004F4E03"/>
    <w:rsid w:val="0050611D"/>
    <w:rsid w:val="005161B3"/>
    <w:rsid w:val="00517C05"/>
    <w:rsid w:val="00520D32"/>
    <w:rsid w:val="00525265"/>
    <w:rsid w:val="00535672"/>
    <w:rsid w:val="00535DD1"/>
    <w:rsid w:val="00537E28"/>
    <w:rsid w:val="005563EC"/>
    <w:rsid w:val="00560B31"/>
    <w:rsid w:val="00565F4E"/>
    <w:rsid w:val="005715B3"/>
    <w:rsid w:val="00575C0C"/>
    <w:rsid w:val="00580903"/>
    <w:rsid w:val="005825DD"/>
    <w:rsid w:val="005835BB"/>
    <w:rsid w:val="00590289"/>
    <w:rsid w:val="005902C0"/>
    <w:rsid w:val="005924E7"/>
    <w:rsid w:val="00595575"/>
    <w:rsid w:val="005A1549"/>
    <w:rsid w:val="005A2345"/>
    <w:rsid w:val="005A2E16"/>
    <w:rsid w:val="005A6A44"/>
    <w:rsid w:val="005B149C"/>
    <w:rsid w:val="005B2FC4"/>
    <w:rsid w:val="005B62FF"/>
    <w:rsid w:val="005B6C38"/>
    <w:rsid w:val="005B7F34"/>
    <w:rsid w:val="005C1917"/>
    <w:rsid w:val="005C3D69"/>
    <w:rsid w:val="005C6406"/>
    <w:rsid w:val="005C69DB"/>
    <w:rsid w:val="005D0608"/>
    <w:rsid w:val="005D103D"/>
    <w:rsid w:val="005D288D"/>
    <w:rsid w:val="005D42E7"/>
    <w:rsid w:val="005E2028"/>
    <w:rsid w:val="005E76FA"/>
    <w:rsid w:val="005F186A"/>
    <w:rsid w:val="005F66BF"/>
    <w:rsid w:val="005F765B"/>
    <w:rsid w:val="006039AE"/>
    <w:rsid w:val="0060619B"/>
    <w:rsid w:val="0061024D"/>
    <w:rsid w:val="00610289"/>
    <w:rsid w:val="00612741"/>
    <w:rsid w:val="0061344F"/>
    <w:rsid w:val="00614BF0"/>
    <w:rsid w:val="006215C4"/>
    <w:rsid w:val="00623BB1"/>
    <w:rsid w:val="006245B8"/>
    <w:rsid w:val="006263B9"/>
    <w:rsid w:val="006301F0"/>
    <w:rsid w:val="00634994"/>
    <w:rsid w:val="00636320"/>
    <w:rsid w:val="00642B55"/>
    <w:rsid w:val="00643523"/>
    <w:rsid w:val="00645557"/>
    <w:rsid w:val="00650EB4"/>
    <w:rsid w:val="00653B95"/>
    <w:rsid w:val="00657558"/>
    <w:rsid w:val="006629C2"/>
    <w:rsid w:val="006629CB"/>
    <w:rsid w:val="00665E76"/>
    <w:rsid w:val="00674DA7"/>
    <w:rsid w:val="00680370"/>
    <w:rsid w:val="0068507B"/>
    <w:rsid w:val="00685CD2"/>
    <w:rsid w:val="00686C5C"/>
    <w:rsid w:val="0068749D"/>
    <w:rsid w:val="00687BAF"/>
    <w:rsid w:val="006923C8"/>
    <w:rsid w:val="006926A8"/>
    <w:rsid w:val="00697736"/>
    <w:rsid w:val="006A3B61"/>
    <w:rsid w:val="006A432E"/>
    <w:rsid w:val="006B2DCF"/>
    <w:rsid w:val="006B6095"/>
    <w:rsid w:val="006C4D15"/>
    <w:rsid w:val="006C628C"/>
    <w:rsid w:val="006D2071"/>
    <w:rsid w:val="006D6B4F"/>
    <w:rsid w:val="006E1789"/>
    <w:rsid w:val="006F2323"/>
    <w:rsid w:val="00704432"/>
    <w:rsid w:val="007052CB"/>
    <w:rsid w:val="00714960"/>
    <w:rsid w:val="00722BBC"/>
    <w:rsid w:val="0072354C"/>
    <w:rsid w:val="00724D50"/>
    <w:rsid w:val="00730545"/>
    <w:rsid w:val="0073183A"/>
    <w:rsid w:val="0074281F"/>
    <w:rsid w:val="0074525F"/>
    <w:rsid w:val="00760344"/>
    <w:rsid w:val="007608BC"/>
    <w:rsid w:val="00760E8A"/>
    <w:rsid w:val="007724CC"/>
    <w:rsid w:val="00772501"/>
    <w:rsid w:val="00776FD9"/>
    <w:rsid w:val="00780277"/>
    <w:rsid w:val="00780582"/>
    <w:rsid w:val="00792A17"/>
    <w:rsid w:val="007A2365"/>
    <w:rsid w:val="007A55D4"/>
    <w:rsid w:val="007B08CE"/>
    <w:rsid w:val="007B4119"/>
    <w:rsid w:val="007C3EFD"/>
    <w:rsid w:val="007C569D"/>
    <w:rsid w:val="007C59B6"/>
    <w:rsid w:val="007C7673"/>
    <w:rsid w:val="007D00A9"/>
    <w:rsid w:val="007E240F"/>
    <w:rsid w:val="007F65A5"/>
    <w:rsid w:val="00800452"/>
    <w:rsid w:val="00802552"/>
    <w:rsid w:val="00807335"/>
    <w:rsid w:val="0081328C"/>
    <w:rsid w:val="0082462B"/>
    <w:rsid w:val="00840B1A"/>
    <w:rsid w:val="0084189E"/>
    <w:rsid w:val="00846F2C"/>
    <w:rsid w:val="008570B5"/>
    <w:rsid w:val="008573BC"/>
    <w:rsid w:val="00857FA9"/>
    <w:rsid w:val="00867BCD"/>
    <w:rsid w:val="008705DA"/>
    <w:rsid w:val="00871012"/>
    <w:rsid w:val="008745BC"/>
    <w:rsid w:val="00877245"/>
    <w:rsid w:val="0088595A"/>
    <w:rsid w:val="00895C66"/>
    <w:rsid w:val="008968CB"/>
    <w:rsid w:val="008B38F1"/>
    <w:rsid w:val="008B667D"/>
    <w:rsid w:val="008C29E7"/>
    <w:rsid w:val="008C2D73"/>
    <w:rsid w:val="008C6F09"/>
    <w:rsid w:val="008D5CEF"/>
    <w:rsid w:val="008E7E8D"/>
    <w:rsid w:val="008F02D8"/>
    <w:rsid w:val="008F0359"/>
    <w:rsid w:val="008F4536"/>
    <w:rsid w:val="0090365C"/>
    <w:rsid w:val="009039D1"/>
    <w:rsid w:val="00906BF9"/>
    <w:rsid w:val="009118EC"/>
    <w:rsid w:val="00912C6B"/>
    <w:rsid w:val="009360C3"/>
    <w:rsid w:val="009408E2"/>
    <w:rsid w:val="00941432"/>
    <w:rsid w:val="00947B80"/>
    <w:rsid w:val="00952605"/>
    <w:rsid w:val="00965092"/>
    <w:rsid w:val="009723F1"/>
    <w:rsid w:val="0097565D"/>
    <w:rsid w:val="009825CA"/>
    <w:rsid w:val="00985419"/>
    <w:rsid w:val="00990FA6"/>
    <w:rsid w:val="0099115F"/>
    <w:rsid w:val="009969D4"/>
    <w:rsid w:val="009A25AB"/>
    <w:rsid w:val="009A7BDC"/>
    <w:rsid w:val="009B2ABF"/>
    <w:rsid w:val="009B4418"/>
    <w:rsid w:val="009B5966"/>
    <w:rsid w:val="009C0D6D"/>
    <w:rsid w:val="009C199E"/>
    <w:rsid w:val="009E193A"/>
    <w:rsid w:val="009E1A85"/>
    <w:rsid w:val="009E55AC"/>
    <w:rsid w:val="00A011CE"/>
    <w:rsid w:val="00A0375E"/>
    <w:rsid w:val="00A133AE"/>
    <w:rsid w:val="00A155EC"/>
    <w:rsid w:val="00A37463"/>
    <w:rsid w:val="00A44795"/>
    <w:rsid w:val="00A460CB"/>
    <w:rsid w:val="00A4676E"/>
    <w:rsid w:val="00A5254F"/>
    <w:rsid w:val="00A56079"/>
    <w:rsid w:val="00A57707"/>
    <w:rsid w:val="00A5799B"/>
    <w:rsid w:val="00A65921"/>
    <w:rsid w:val="00A67A83"/>
    <w:rsid w:val="00A70542"/>
    <w:rsid w:val="00A70966"/>
    <w:rsid w:val="00A755E8"/>
    <w:rsid w:val="00A839E6"/>
    <w:rsid w:val="00A911AB"/>
    <w:rsid w:val="00A92FB5"/>
    <w:rsid w:val="00A93EFB"/>
    <w:rsid w:val="00A96E05"/>
    <w:rsid w:val="00AA20FB"/>
    <w:rsid w:val="00AA5EDA"/>
    <w:rsid w:val="00AA7142"/>
    <w:rsid w:val="00AA7BE9"/>
    <w:rsid w:val="00AB3CCC"/>
    <w:rsid w:val="00AB6DDA"/>
    <w:rsid w:val="00AB6E23"/>
    <w:rsid w:val="00AD7AC0"/>
    <w:rsid w:val="00AE1D46"/>
    <w:rsid w:val="00AE485D"/>
    <w:rsid w:val="00AF1159"/>
    <w:rsid w:val="00AF20BD"/>
    <w:rsid w:val="00AF27A9"/>
    <w:rsid w:val="00AF65E3"/>
    <w:rsid w:val="00B02B2C"/>
    <w:rsid w:val="00B03033"/>
    <w:rsid w:val="00B06E51"/>
    <w:rsid w:val="00B1293D"/>
    <w:rsid w:val="00B13363"/>
    <w:rsid w:val="00B210ED"/>
    <w:rsid w:val="00B2381D"/>
    <w:rsid w:val="00B25B97"/>
    <w:rsid w:val="00B32125"/>
    <w:rsid w:val="00B3342D"/>
    <w:rsid w:val="00B35C40"/>
    <w:rsid w:val="00B62EB8"/>
    <w:rsid w:val="00B722B2"/>
    <w:rsid w:val="00B723B4"/>
    <w:rsid w:val="00B731DB"/>
    <w:rsid w:val="00B74BD3"/>
    <w:rsid w:val="00B75C04"/>
    <w:rsid w:val="00B81B29"/>
    <w:rsid w:val="00B8263E"/>
    <w:rsid w:val="00B82983"/>
    <w:rsid w:val="00B83576"/>
    <w:rsid w:val="00B91E9D"/>
    <w:rsid w:val="00B932B4"/>
    <w:rsid w:val="00B9395C"/>
    <w:rsid w:val="00B95C09"/>
    <w:rsid w:val="00B96DDC"/>
    <w:rsid w:val="00BA1027"/>
    <w:rsid w:val="00BA121E"/>
    <w:rsid w:val="00BA55B1"/>
    <w:rsid w:val="00BC3804"/>
    <w:rsid w:val="00BC44B9"/>
    <w:rsid w:val="00BE32F2"/>
    <w:rsid w:val="00BE3DC0"/>
    <w:rsid w:val="00BE4206"/>
    <w:rsid w:val="00BF47FE"/>
    <w:rsid w:val="00BF7F36"/>
    <w:rsid w:val="00C009B7"/>
    <w:rsid w:val="00C03174"/>
    <w:rsid w:val="00C053FC"/>
    <w:rsid w:val="00C14CC2"/>
    <w:rsid w:val="00C17BD2"/>
    <w:rsid w:val="00C32E30"/>
    <w:rsid w:val="00C33B33"/>
    <w:rsid w:val="00C370F4"/>
    <w:rsid w:val="00C408F6"/>
    <w:rsid w:val="00C53750"/>
    <w:rsid w:val="00C67A68"/>
    <w:rsid w:val="00C7108F"/>
    <w:rsid w:val="00C72DCC"/>
    <w:rsid w:val="00C77860"/>
    <w:rsid w:val="00C8279F"/>
    <w:rsid w:val="00C842B0"/>
    <w:rsid w:val="00C87B7A"/>
    <w:rsid w:val="00C914B8"/>
    <w:rsid w:val="00C91A98"/>
    <w:rsid w:val="00C928C6"/>
    <w:rsid w:val="00CA68AD"/>
    <w:rsid w:val="00CB012A"/>
    <w:rsid w:val="00CB2508"/>
    <w:rsid w:val="00CB4201"/>
    <w:rsid w:val="00CB4967"/>
    <w:rsid w:val="00CB4C3A"/>
    <w:rsid w:val="00CB5A31"/>
    <w:rsid w:val="00CB70DB"/>
    <w:rsid w:val="00CC0798"/>
    <w:rsid w:val="00CC4384"/>
    <w:rsid w:val="00CC543E"/>
    <w:rsid w:val="00CC6225"/>
    <w:rsid w:val="00CD0306"/>
    <w:rsid w:val="00CD0E42"/>
    <w:rsid w:val="00CD159C"/>
    <w:rsid w:val="00CD2905"/>
    <w:rsid w:val="00CE02AE"/>
    <w:rsid w:val="00CE0CFD"/>
    <w:rsid w:val="00CE12EB"/>
    <w:rsid w:val="00CE2D10"/>
    <w:rsid w:val="00CE5DB9"/>
    <w:rsid w:val="00CF06F6"/>
    <w:rsid w:val="00D03E0A"/>
    <w:rsid w:val="00D1246F"/>
    <w:rsid w:val="00D12C84"/>
    <w:rsid w:val="00D16104"/>
    <w:rsid w:val="00D21075"/>
    <w:rsid w:val="00D3062A"/>
    <w:rsid w:val="00D33D09"/>
    <w:rsid w:val="00D34C3D"/>
    <w:rsid w:val="00D45FC8"/>
    <w:rsid w:val="00D4614C"/>
    <w:rsid w:val="00D46DAF"/>
    <w:rsid w:val="00D577E0"/>
    <w:rsid w:val="00D615EB"/>
    <w:rsid w:val="00D639AC"/>
    <w:rsid w:val="00D63E95"/>
    <w:rsid w:val="00D6462C"/>
    <w:rsid w:val="00D66EC9"/>
    <w:rsid w:val="00D70814"/>
    <w:rsid w:val="00D711E2"/>
    <w:rsid w:val="00D7356A"/>
    <w:rsid w:val="00D73717"/>
    <w:rsid w:val="00D85114"/>
    <w:rsid w:val="00D92716"/>
    <w:rsid w:val="00DA0531"/>
    <w:rsid w:val="00DA0DA0"/>
    <w:rsid w:val="00DA40AD"/>
    <w:rsid w:val="00DA5AF0"/>
    <w:rsid w:val="00DA644F"/>
    <w:rsid w:val="00DB0619"/>
    <w:rsid w:val="00DB1432"/>
    <w:rsid w:val="00DB2264"/>
    <w:rsid w:val="00DB43D4"/>
    <w:rsid w:val="00DC22B7"/>
    <w:rsid w:val="00DC277C"/>
    <w:rsid w:val="00DC4E78"/>
    <w:rsid w:val="00DC51A2"/>
    <w:rsid w:val="00DC6FDE"/>
    <w:rsid w:val="00DD1383"/>
    <w:rsid w:val="00DE15C4"/>
    <w:rsid w:val="00DE5913"/>
    <w:rsid w:val="00DE76A4"/>
    <w:rsid w:val="00DF7DE6"/>
    <w:rsid w:val="00E04F23"/>
    <w:rsid w:val="00E10869"/>
    <w:rsid w:val="00E2642A"/>
    <w:rsid w:val="00E32D64"/>
    <w:rsid w:val="00E41632"/>
    <w:rsid w:val="00E429CF"/>
    <w:rsid w:val="00E468F8"/>
    <w:rsid w:val="00E50F34"/>
    <w:rsid w:val="00E51C31"/>
    <w:rsid w:val="00E54AE3"/>
    <w:rsid w:val="00E56214"/>
    <w:rsid w:val="00E565DF"/>
    <w:rsid w:val="00E60F92"/>
    <w:rsid w:val="00E65A9C"/>
    <w:rsid w:val="00E66B5D"/>
    <w:rsid w:val="00E70697"/>
    <w:rsid w:val="00E8136B"/>
    <w:rsid w:val="00E833E5"/>
    <w:rsid w:val="00E83CE1"/>
    <w:rsid w:val="00E84AB6"/>
    <w:rsid w:val="00E860B1"/>
    <w:rsid w:val="00E861DC"/>
    <w:rsid w:val="00E87307"/>
    <w:rsid w:val="00E90F53"/>
    <w:rsid w:val="00E929F2"/>
    <w:rsid w:val="00E9429B"/>
    <w:rsid w:val="00E9670F"/>
    <w:rsid w:val="00E97803"/>
    <w:rsid w:val="00EA1250"/>
    <w:rsid w:val="00EA370D"/>
    <w:rsid w:val="00EB0202"/>
    <w:rsid w:val="00EB4019"/>
    <w:rsid w:val="00EB5329"/>
    <w:rsid w:val="00EB69A4"/>
    <w:rsid w:val="00EC1A29"/>
    <w:rsid w:val="00ED1B7A"/>
    <w:rsid w:val="00ED33B4"/>
    <w:rsid w:val="00ED68D2"/>
    <w:rsid w:val="00ED724D"/>
    <w:rsid w:val="00EE199A"/>
    <w:rsid w:val="00EE6F0F"/>
    <w:rsid w:val="00EF48D8"/>
    <w:rsid w:val="00EF4CFA"/>
    <w:rsid w:val="00F0104F"/>
    <w:rsid w:val="00F043B2"/>
    <w:rsid w:val="00F10C5F"/>
    <w:rsid w:val="00F13E93"/>
    <w:rsid w:val="00F15B8F"/>
    <w:rsid w:val="00F260BC"/>
    <w:rsid w:val="00F27F76"/>
    <w:rsid w:val="00F34750"/>
    <w:rsid w:val="00F35D02"/>
    <w:rsid w:val="00F40B76"/>
    <w:rsid w:val="00F42174"/>
    <w:rsid w:val="00F471BE"/>
    <w:rsid w:val="00F562B7"/>
    <w:rsid w:val="00F63A64"/>
    <w:rsid w:val="00F707E4"/>
    <w:rsid w:val="00F74AD8"/>
    <w:rsid w:val="00F7559E"/>
    <w:rsid w:val="00F80EFA"/>
    <w:rsid w:val="00F81A5B"/>
    <w:rsid w:val="00F83FC1"/>
    <w:rsid w:val="00F867B6"/>
    <w:rsid w:val="00F90971"/>
    <w:rsid w:val="00F9701C"/>
    <w:rsid w:val="00FA0F4C"/>
    <w:rsid w:val="00FA1D57"/>
    <w:rsid w:val="00FA373E"/>
    <w:rsid w:val="00FA593A"/>
    <w:rsid w:val="00FB22DF"/>
    <w:rsid w:val="00FB35C5"/>
    <w:rsid w:val="00FB488A"/>
    <w:rsid w:val="00FC04D3"/>
    <w:rsid w:val="00FC3E29"/>
    <w:rsid w:val="00FC57DB"/>
    <w:rsid w:val="00FD1306"/>
    <w:rsid w:val="00FD5723"/>
    <w:rsid w:val="00FE1E1E"/>
    <w:rsid w:val="00FE2769"/>
    <w:rsid w:val="00FE5A1E"/>
    <w:rsid w:val="00FE6A3C"/>
    <w:rsid w:val="00FE7126"/>
    <w:rsid w:val="00FF53C7"/>
    <w:rsid w:val="03025845"/>
    <w:rsid w:val="0B2D79F3"/>
    <w:rsid w:val="0F451083"/>
    <w:rsid w:val="108628B1"/>
    <w:rsid w:val="150572EB"/>
    <w:rsid w:val="1809197A"/>
    <w:rsid w:val="19F45362"/>
    <w:rsid w:val="1DA87A8C"/>
    <w:rsid w:val="21EE3C28"/>
    <w:rsid w:val="2633002C"/>
    <w:rsid w:val="2B417EE3"/>
    <w:rsid w:val="38521F98"/>
    <w:rsid w:val="430D499A"/>
    <w:rsid w:val="43E36E16"/>
    <w:rsid w:val="44384737"/>
    <w:rsid w:val="46593079"/>
    <w:rsid w:val="49364D3C"/>
    <w:rsid w:val="5212481A"/>
    <w:rsid w:val="530D02DF"/>
    <w:rsid w:val="5E430F37"/>
    <w:rsid w:val="64DD5959"/>
    <w:rsid w:val="6A907CB9"/>
    <w:rsid w:val="6AA50A05"/>
    <w:rsid w:val="6B6F0793"/>
    <w:rsid w:val="70400485"/>
    <w:rsid w:val="70645F10"/>
    <w:rsid w:val="733830D3"/>
    <w:rsid w:val="79AD70BA"/>
    <w:rsid w:val="7A4D6C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hd w:val="clear" w:color="auto" w:fill="FDFDFE"/>
      <w:autoSpaceDE w:val="0"/>
      <w:autoSpaceDN w:val="0"/>
      <w:spacing w:line="360" w:lineRule="auto"/>
      <w:ind w:firstLine="480" w:firstLineChars="200"/>
      <w:jc w:val="both"/>
    </w:pPr>
    <w:rPr>
      <w:rFonts w:ascii="宋体" w:hAnsi="宋体" w:eastAsia="宋体" w:cs="宋体"/>
      <w:sz w:val="24"/>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5"/>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semiHidden/>
    <w:unhideWhenUsed/>
    <w:qFormat/>
    <w:uiPriority w:val="0"/>
    <w:pPr>
      <w:keepNext/>
      <w:keepLines/>
      <w:spacing w:before="260" w:after="260" w:line="416" w:lineRule="auto"/>
      <w:outlineLvl w:val="2"/>
    </w:pPr>
    <w:rPr>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2"/>
    <w:qFormat/>
    <w:uiPriority w:val="0"/>
    <w:pPr>
      <w:spacing w:after="12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8">
    <w:name w:val="toc 1"/>
    <w:basedOn w:val="1"/>
    <w:next w:val="1"/>
    <w:autoRedefine/>
    <w:unhideWhenUsed/>
    <w:qFormat/>
    <w:uiPriority w:val="39"/>
    <w:pPr>
      <w:widowControl/>
      <w:spacing w:after="100" w:line="259" w:lineRule="auto"/>
      <w:jc w:val="left"/>
    </w:pPr>
    <w:rPr>
      <w:rFonts w:asciiTheme="minorHAnsi" w:hAnsiTheme="minorHAnsi" w:eastAsiaTheme="minorEastAsia"/>
      <w:sz w:val="22"/>
    </w:rPr>
  </w:style>
  <w:style w:type="paragraph" w:styleId="9">
    <w:name w:val="toc 2"/>
    <w:basedOn w:val="1"/>
    <w:next w:val="1"/>
    <w:autoRedefine/>
    <w:unhideWhenUsed/>
    <w:qFormat/>
    <w:uiPriority w:val="39"/>
    <w:pPr>
      <w:widowControl/>
      <w:spacing w:after="100" w:line="259" w:lineRule="auto"/>
      <w:ind w:left="220"/>
      <w:jc w:val="left"/>
    </w:pPr>
    <w:rPr>
      <w:rFonts w:asciiTheme="minorHAnsi" w:hAnsiTheme="minorHAnsi" w:eastAsiaTheme="minorEastAsia"/>
      <w:sz w:val="22"/>
    </w:rPr>
  </w:style>
  <w:style w:type="paragraph" w:styleId="10">
    <w:name w:val="Normal (Web)"/>
    <w:basedOn w:val="1"/>
    <w:qFormat/>
    <w:uiPriority w:val="0"/>
    <w:rPr>
      <w:rFonts w:ascii="Times New Roman" w:hAnsi="Times New Roman" w:cs="Times New Roman"/>
    </w:rPr>
  </w:style>
  <w:style w:type="character" w:styleId="13">
    <w:name w:val="Hyperlink"/>
    <w:basedOn w:val="12"/>
    <w:unhideWhenUsed/>
    <w:qFormat/>
    <w:uiPriority w:val="99"/>
    <w:rPr>
      <w:color w:val="0026E5" w:themeColor="hyperlink"/>
      <w:u w:val="single"/>
      <w14:textFill>
        <w14:solidFill>
          <w14:schemeClr w14:val="hlink"/>
        </w14:solidFill>
      </w14:textFill>
    </w:rPr>
  </w:style>
  <w:style w:type="table" w:customStyle="1" w:styleId="14">
    <w:name w:val="Table Normal"/>
    <w:autoRedefine/>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paragraph" w:customStyle="1" w:styleId="15">
    <w:name w:val="无间隔1"/>
    <w:autoRedefine/>
    <w:qFormat/>
    <w:uiPriority w:val="0"/>
    <w:pPr>
      <w:widowControl w:val="0"/>
      <w:ind w:firstLine="600" w:firstLineChars="200"/>
      <w:jc w:val="both"/>
    </w:pPr>
    <w:rPr>
      <w:rFonts w:ascii="仿宋" w:hAnsi="仿宋" w:eastAsia="仿宋" w:cs="仿宋_GB2312"/>
      <w:color w:val="000000"/>
      <w:kern w:val="2"/>
      <w:sz w:val="30"/>
      <w:szCs w:val="30"/>
      <w:lang w:val="en-US" w:eastAsia="zh-CN" w:bidi="ar-SA"/>
    </w:rPr>
  </w:style>
  <w:style w:type="paragraph" w:customStyle="1" w:styleId="16">
    <w:name w:val="标准制订工作要则"/>
    <w:basedOn w:val="1"/>
    <w:autoRedefine/>
    <w:qFormat/>
    <w:uiPriority w:val="0"/>
    <w:pPr>
      <w:spacing w:before="158" w:beforeLines="50"/>
      <w:ind w:firstLine="723"/>
      <w:jc w:val="left"/>
    </w:pPr>
    <w:rPr>
      <w:rFonts w:ascii="Times New Roman" w:hAnsi="Times New Roman" w:eastAsia="黑体"/>
      <w:sz w:val="40"/>
      <w:szCs w:val="36"/>
    </w:rPr>
  </w:style>
  <w:style w:type="paragraph" w:customStyle="1" w:styleId="17">
    <w:name w:val="TOC 标题1"/>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54A1" w:themeColor="accent1" w:themeShade="BF"/>
      <w:kern w:val="0"/>
      <w:sz w:val="32"/>
      <w:szCs w:val="32"/>
    </w:rPr>
  </w:style>
  <w:style w:type="paragraph" w:customStyle="1" w:styleId="18">
    <w:name w:val="21bc9c4b-6a32-43e5-beaa-fd2d792c5735"/>
    <w:basedOn w:val="2"/>
    <w:next w:val="19"/>
    <w:link w:val="20"/>
    <w:qFormat/>
    <w:uiPriority w:val="0"/>
    <w:pPr>
      <w:adjustRightInd w:val="0"/>
      <w:spacing w:before="0" w:after="0" w:line="288" w:lineRule="auto"/>
      <w:ind w:firstLine="0" w:firstLineChars="0"/>
      <w:jc w:val="left"/>
    </w:pPr>
    <w:rPr>
      <w:rFonts w:ascii="微软雅黑" w:hAnsi="微软雅黑" w:eastAsia="微软雅黑" w:cs="黑体"/>
      <w:color w:val="000000"/>
      <w:sz w:val="32"/>
    </w:rPr>
  </w:style>
  <w:style w:type="paragraph" w:customStyle="1" w:styleId="19">
    <w:name w:val="acbfdd8b-e11b-4d36-88ff-6049b138f862"/>
    <w:basedOn w:val="5"/>
    <w:link w:val="21"/>
    <w:qFormat/>
    <w:uiPriority w:val="0"/>
    <w:pPr>
      <w:adjustRightInd w:val="0"/>
      <w:spacing w:after="0" w:line="288" w:lineRule="auto"/>
      <w:ind w:firstLine="0" w:firstLineChars="0"/>
      <w:jc w:val="left"/>
    </w:pPr>
    <w:rPr>
      <w:rFonts w:ascii="微软雅黑" w:hAnsi="微软雅黑" w:eastAsia="微软雅黑" w:cs="黑体"/>
      <w:color w:val="000000"/>
      <w:sz w:val="22"/>
    </w:rPr>
  </w:style>
  <w:style w:type="character" w:customStyle="1" w:styleId="20">
    <w:name w:val="21bc9c4b-6a32-43e5-beaa-fd2d792c5735 字符"/>
    <w:basedOn w:val="12"/>
    <w:link w:val="18"/>
    <w:qFormat/>
    <w:uiPriority w:val="0"/>
    <w:rPr>
      <w:rFonts w:ascii="微软雅黑" w:hAnsi="微软雅黑" w:eastAsia="微软雅黑" w:cs="黑体"/>
      <w:b/>
      <w:bCs/>
      <w:color w:val="000000"/>
      <w:kern w:val="44"/>
      <w:sz w:val="32"/>
      <w:szCs w:val="44"/>
      <w:shd w:val="clear" w:color="auto" w:fill="FDFDFE"/>
    </w:rPr>
  </w:style>
  <w:style w:type="character" w:customStyle="1" w:styleId="21">
    <w:name w:val="acbfdd8b-e11b-4d36-88ff-6049b138f862 字符"/>
    <w:basedOn w:val="12"/>
    <w:link w:val="19"/>
    <w:qFormat/>
    <w:uiPriority w:val="0"/>
    <w:rPr>
      <w:rFonts w:ascii="微软雅黑" w:hAnsi="微软雅黑" w:eastAsia="微软雅黑" w:cs="黑体"/>
      <w:color w:val="000000"/>
      <w:sz w:val="22"/>
      <w:szCs w:val="24"/>
      <w:shd w:val="clear" w:color="auto" w:fill="FDFDFE"/>
    </w:rPr>
  </w:style>
  <w:style w:type="character" w:customStyle="1" w:styleId="22">
    <w:name w:val="正文文本 字符"/>
    <w:basedOn w:val="12"/>
    <w:link w:val="5"/>
    <w:qFormat/>
    <w:uiPriority w:val="0"/>
    <w:rPr>
      <w:rFonts w:ascii="宋体" w:hAnsi="宋体" w:eastAsia="宋体" w:cs="宋体"/>
      <w:sz w:val="24"/>
      <w:szCs w:val="24"/>
      <w:shd w:val="clear" w:color="auto" w:fill="FDFDFE"/>
    </w:rPr>
  </w:style>
  <w:style w:type="paragraph" w:customStyle="1" w:styleId="23">
    <w:name w:val="71e7dc79-1ff7-45e8-997d-0ebda3762b91"/>
    <w:basedOn w:val="3"/>
    <w:next w:val="19"/>
    <w:link w:val="24"/>
    <w:qFormat/>
    <w:uiPriority w:val="0"/>
    <w:pPr>
      <w:adjustRightInd w:val="0"/>
      <w:spacing w:before="0" w:after="0" w:line="288" w:lineRule="auto"/>
      <w:ind w:firstLine="0" w:firstLineChars="0"/>
      <w:jc w:val="left"/>
    </w:pPr>
    <w:rPr>
      <w:rFonts w:ascii="微软雅黑" w:hAnsi="微软雅黑" w:eastAsia="微软雅黑" w:cs="黑体"/>
      <w:color w:val="000000"/>
      <w:sz w:val="28"/>
    </w:rPr>
  </w:style>
  <w:style w:type="character" w:customStyle="1" w:styleId="24">
    <w:name w:val="71e7dc79-1ff7-45e8-997d-0ebda3762b91 字符"/>
    <w:basedOn w:val="12"/>
    <w:link w:val="23"/>
    <w:qFormat/>
    <w:uiPriority w:val="0"/>
    <w:rPr>
      <w:rFonts w:ascii="微软雅黑" w:hAnsi="微软雅黑" w:eastAsia="微软雅黑" w:cs="黑体"/>
      <w:b/>
      <w:bCs/>
      <w:color w:val="000000"/>
      <w:sz w:val="28"/>
      <w:szCs w:val="32"/>
      <w:shd w:val="clear" w:color="auto" w:fill="FDFDFE"/>
    </w:rPr>
  </w:style>
  <w:style w:type="character" w:customStyle="1" w:styleId="25">
    <w:name w:val="标题 2 字符"/>
    <w:basedOn w:val="12"/>
    <w:link w:val="3"/>
    <w:semiHidden/>
    <w:qFormat/>
    <w:uiPriority w:val="0"/>
    <w:rPr>
      <w:rFonts w:asciiTheme="majorHAnsi" w:hAnsiTheme="majorHAnsi" w:eastAsiaTheme="majorEastAsia" w:cstheme="majorBidi"/>
      <w:b/>
      <w:bCs/>
      <w:sz w:val="32"/>
      <w:szCs w:val="32"/>
      <w:shd w:val="clear" w:color="auto" w:fill="FDFDFE"/>
    </w:rPr>
  </w:style>
  <w:style w:type="paragraph" w:customStyle="1" w:styleId="26">
    <w:name w:val="段"/>
    <w:autoRedefine/>
    <w:qFormat/>
    <w:uiPriority w:val="0"/>
    <w:pPr>
      <w:autoSpaceDE w:val="0"/>
      <w:autoSpaceDN w:val="0"/>
      <w:ind w:firstLine="200" w:firstLineChars="200"/>
      <w:jc w:val="both"/>
    </w:pPr>
    <w:rPr>
      <w:rFonts w:ascii="宋体" w:hAnsi="等线" w:eastAsia="等线" w:cs="等线"/>
      <w:sz w:val="21"/>
      <w:lang w:val="en-US" w:eastAsia="zh-CN" w:bidi="ar-SA"/>
    </w:rPr>
  </w:style>
  <w:style w:type="paragraph" w:customStyle="1" w:styleId="27">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28">
    <w:name w:val="List Paragraph"/>
    <w:basedOn w:val="1"/>
    <w:unhideWhenUsed/>
    <w:qFormat/>
    <w:uiPriority w:val="99"/>
    <w:pPr>
      <w:ind w:firstLine="420"/>
    </w:pPr>
  </w:style>
  <w:style w:type="table" w:customStyle="1" w:styleId="29">
    <w:name w:val="无格式表格 41"/>
    <w:basedOn w:val="11"/>
    <w:autoRedefine/>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paragraph" w:customStyle="1" w:styleId="30">
    <w:name w:val="Table Paragraph"/>
    <w:basedOn w:val="1"/>
    <w:autoRedefine/>
    <w:qFormat/>
    <w:uiPriority w:val="1"/>
    <w:pPr>
      <w:shd w:val="clear" w:color="auto" w:fill="auto"/>
      <w:spacing w:line="440" w:lineRule="exact"/>
      <w:ind w:firstLine="440"/>
    </w:pPr>
    <w:rPr>
      <w:rFonts w:ascii="Times New Roman" w:hAnsi="Times New Roman" w:cs="Times New Roman"/>
      <w:sz w:val="22"/>
      <w:szCs w:val="22"/>
    </w:rPr>
  </w:style>
  <w:style w:type="character" w:customStyle="1" w:styleId="31">
    <w:name w:val="标题 3 字符"/>
    <w:basedOn w:val="12"/>
    <w:link w:val="4"/>
    <w:semiHidden/>
    <w:qFormat/>
    <w:uiPriority w:val="0"/>
    <w:rPr>
      <w:rFonts w:ascii="宋体" w:hAnsi="宋体" w:eastAsia="宋体" w:cs="宋体"/>
      <w:b/>
      <w:bCs/>
      <w:sz w:val="32"/>
      <w:szCs w:val="32"/>
      <w:shd w:val="clear" w:color="auto" w:fill="FDFDF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BCCD00-0401-4368-87ED-8026107614B9}">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2102</Words>
  <Characters>2228</Characters>
  <Lines>71</Lines>
  <Paragraphs>20</Paragraphs>
  <TotalTime>0</TotalTime>
  <ScaleCrop>false</ScaleCrop>
  <LinksUpToDate>false</LinksUpToDate>
  <CharactersWithSpaces>2336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2024-12-31T09:09:00Z</dcterms:created>
  <dc:creator>小平</dc:creator>
  <cp:lastModifiedBy>zouyong</cp:lastModifiedBy>
  <dcterms:modified xsi:type="dcterms:W3CDTF">2025-01-22T08:16:59Z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401C50DFF92D49C6BC5CAA57E9DFD105_11</vt:lpwstr>
  </property>
  <property fmtid="{D5CDD505-2E9C-101B-9397-08002B2CF9AE}" pid="4" name="KSOTemplateDocerSaveRecord">
    <vt:lpwstr>eyJoZGlkIjoiYmQzNGQ3MzJkZTU1MGIzZjFjYjNkMmEwMjE3YjE3NWMiLCJ1c2VySWQiOiI1NjMzNDg4NzgifQ==</vt:lpwstr>
  </property>
</Properties>
</file>